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61" w:rsidRDefault="00273861" w:rsidP="00273861">
      <w:pPr>
        <w:autoSpaceDE w:val="0"/>
        <w:autoSpaceDN w:val="0"/>
        <w:adjustRightInd w:val="0"/>
        <w:spacing w:before="1200" w:after="0"/>
        <w:jc w:val="center"/>
        <w:rPr>
          <w:rFonts w:eastAsiaTheme="minorEastAsia"/>
          <w:sz w:val="24"/>
          <w:szCs w:val="24"/>
        </w:rPr>
      </w:pPr>
    </w:p>
    <w:p w:rsidR="00273861" w:rsidRDefault="00492223" w:rsidP="00273861">
      <w:pPr>
        <w:spacing w:before="200" w:after="200"/>
        <w:jc w:val="center"/>
        <w:rPr>
          <w:b/>
          <w:bCs/>
          <w:sz w:val="36"/>
          <w:szCs w:val="36"/>
        </w:rPr>
      </w:pPr>
      <w:r>
        <w:rPr>
          <w:noProof/>
        </w:rPr>
        <w:drawing>
          <wp:anchor distT="0" distB="0" distL="114300" distR="114300" simplePos="0" relativeHeight="251660288" behindDoc="0" locked="0" layoutInCell="1" allowOverlap="1">
            <wp:simplePos x="0" y="0"/>
            <wp:positionH relativeFrom="column">
              <wp:posOffset>850265</wp:posOffset>
            </wp:positionH>
            <wp:positionV relativeFrom="paragraph">
              <wp:posOffset>412115</wp:posOffset>
            </wp:positionV>
            <wp:extent cx="4273550" cy="106680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srcRect/>
                    <a:stretch>
                      <a:fillRect/>
                    </a:stretch>
                  </pic:blipFill>
                  <pic:spPr bwMode="auto">
                    <a:xfrm>
                      <a:off x="0" y="0"/>
                      <a:ext cx="4273550" cy="1066800"/>
                    </a:xfrm>
                    <a:prstGeom prst="rect">
                      <a:avLst/>
                    </a:prstGeom>
                    <a:noFill/>
                    <a:ln w="9525">
                      <a:noFill/>
                      <a:miter lim="800000"/>
                      <a:headEnd/>
                      <a:tailEnd/>
                    </a:ln>
                  </pic:spPr>
                </pic:pic>
              </a:graphicData>
            </a:graphic>
          </wp:anchor>
        </w:drawing>
      </w:r>
    </w:p>
    <w:p w:rsidR="00273861" w:rsidRDefault="00273861" w:rsidP="00273861">
      <w:pPr>
        <w:spacing w:before="200" w:after="200"/>
        <w:jc w:val="center"/>
        <w:rPr>
          <w:b/>
          <w:bCs/>
          <w:sz w:val="36"/>
          <w:szCs w:val="36"/>
        </w:rPr>
      </w:pPr>
    </w:p>
    <w:p w:rsidR="00273861" w:rsidRDefault="00273861" w:rsidP="00273861">
      <w:pPr>
        <w:spacing w:before="200" w:after="200"/>
        <w:jc w:val="center"/>
        <w:rPr>
          <w:b/>
          <w:bCs/>
          <w:sz w:val="36"/>
          <w:szCs w:val="36"/>
        </w:rPr>
      </w:pPr>
    </w:p>
    <w:p w:rsidR="00273861" w:rsidRDefault="00273861" w:rsidP="00273861">
      <w:pPr>
        <w:spacing w:before="200" w:after="200"/>
        <w:jc w:val="center"/>
        <w:rPr>
          <w:b/>
          <w:bCs/>
          <w:sz w:val="36"/>
          <w:szCs w:val="36"/>
        </w:rPr>
      </w:pPr>
    </w:p>
    <w:p w:rsidR="00273861" w:rsidRDefault="00273861" w:rsidP="00273861">
      <w:pPr>
        <w:spacing w:before="200" w:after="200"/>
        <w:jc w:val="center"/>
        <w:rPr>
          <w:b/>
          <w:bCs/>
          <w:sz w:val="36"/>
          <w:szCs w:val="36"/>
        </w:rPr>
      </w:pPr>
    </w:p>
    <w:p w:rsidR="00273861" w:rsidRPr="004C1465" w:rsidRDefault="00273861" w:rsidP="00273861">
      <w:pPr>
        <w:spacing w:before="200" w:after="200" w:line="480" w:lineRule="auto"/>
        <w:jc w:val="center"/>
        <w:rPr>
          <w:b/>
          <w:bCs/>
          <w:sz w:val="44"/>
          <w:szCs w:val="44"/>
        </w:rPr>
      </w:pPr>
    </w:p>
    <w:p w:rsidR="00273861" w:rsidRPr="004C1465" w:rsidRDefault="00273861" w:rsidP="00273861">
      <w:pPr>
        <w:spacing w:before="200" w:after="200" w:line="480" w:lineRule="auto"/>
        <w:jc w:val="center"/>
        <w:rPr>
          <w:b/>
          <w:bCs/>
          <w:sz w:val="44"/>
          <w:szCs w:val="44"/>
        </w:rPr>
      </w:pPr>
      <w:r w:rsidRPr="004C1465">
        <w:rPr>
          <w:rFonts w:hint="eastAsia"/>
          <w:b/>
          <w:bCs/>
          <w:sz w:val="44"/>
          <w:szCs w:val="44"/>
        </w:rPr>
        <w:t>昆明云内动力股份有限公司</w:t>
      </w:r>
    </w:p>
    <w:p w:rsidR="00273861" w:rsidRPr="004C1465" w:rsidRDefault="00273861" w:rsidP="00273861">
      <w:pPr>
        <w:spacing w:before="200" w:after="200" w:line="480" w:lineRule="auto"/>
        <w:jc w:val="center"/>
        <w:rPr>
          <w:b/>
          <w:bCs/>
          <w:sz w:val="44"/>
          <w:szCs w:val="44"/>
        </w:rPr>
      </w:pPr>
      <w:r w:rsidRPr="004C1465">
        <w:rPr>
          <w:b/>
          <w:bCs/>
          <w:sz w:val="44"/>
          <w:szCs w:val="44"/>
        </w:rPr>
        <w:t>20</w:t>
      </w:r>
      <w:r w:rsidR="00FE518D">
        <w:rPr>
          <w:rFonts w:hint="eastAsia"/>
          <w:b/>
          <w:bCs/>
          <w:sz w:val="44"/>
          <w:szCs w:val="44"/>
        </w:rPr>
        <w:t>21</w:t>
      </w:r>
      <w:r w:rsidRPr="004C1465">
        <w:rPr>
          <w:rFonts w:hint="eastAsia"/>
          <w:b/>
          <w:bCs/>
          <w:sz w:val="44"/>
          <w:szCs w:val="44"/>
        </w:rPr>
        <w:t>年</w:t>
      </w:r>
      <w:r>
        <w:rPr>
          <w:rFonts w:hint="eastAsia"/>
          <w:b/>
          <w:bCs/>
          <w:sz w:val="44"/>
          <w:szCs w:val="44"/>
        </w:rPr>
        <w:t>第</w:t>
      </w:r>
      <w:r w:rsidR="00FE518D">
        <w:rPr>
          <w:rFonts w:hint="eastAsia"/>
          <w:b/>
          <w:bCs/>
          <w:sz w:val="44"/>
          <w:szCs w:val="44"/>
        </w:rPr>
        <w:t>一</w:t>
      </w:r>
      <w:r>
        <w:rPr>
          <w:rFonts w:hint="eastAsia"/>
          <w:b/>
          <w:bCs/>
          <w:sz w:val="44"/>
          <w:szCs w:val="44"/>
        </w:rPr>
        <w:t>季度</w:t>
      </w:r>
      <w:r w:rsidRPr="004C1465">
        <w:rPr>
          <w:rFonts w:hint="eastAsia"/>
          <w:b/>
          <w:bCs/>
          <w:sz w:val="44"/>
          <w:szCs w:val="44"/>
        </w:rPr>
        <w:t>报告</w:t>
      </w:r>
    </w:p>
    <w:p w:rsidR="00273861" w:rsidRDefault="00273861" w:rsidP="00273861">
      <w:pPr>
        <w:spacing w:before="200" w:after="200" w:line="480" w:lineRule="auto"/>
        <w:jc w:val="center"/>
        <w:rPr>
          <w:b/>
          <w:bCs/>
          <w:sz w:val="44"/>
          <w:szCs w:val="44"/>
        </w:rPr>
      </w:pPr>
    </w:p>
    <w:p w:rsidR="00273861" w:rsidRDefault="00273861" w:rsidP="00273861">
      <w:pPr>
        <w:spacing w:before="200" w:after="200" w:line="480" w:lineRule="auto"/>
        <w:jc w:val="center"/>
        <w:rPr>
          <w:b/>
          <w:bCs/>
          <w:sz w:val="44"/>
          <w:szCs w:val="44"/>
        </w:rPr>
      </w:pPr>
    </w:p>
    <w:p w:rsidR="00273861" w:rsidRDefault="00273861" w:rsidP="00273861">
      <w:pPr>
        <w:spacing w:before="200" w:after="200" w:line="480" w:lineRule="auto"/>
        <w:jc w:val="center"/>
        <w:rPr>
          <w:b/>
          <w:bCs/>
          <w:sz w:val="44"/>
          <w:szCs w:val="44"/>
        </w:rPr>
      </w:pPr>
    </w:p>
    <w:p w:rsidR="00273861" w:rsidRPr="004C1465" w:rsidRDefault="00B32FDB" w:rsidP="00273861">
      <w:pPr>
        <w:spacing w:before="200" w:after="200" w:line="480" w:lineRule="auto"/>
        <w:jc w:val="center"/>
        <w:rPr>
          <w:b/>
          <w:bCs/>
          <w:sz w:val="44"/>
          <w:szCs w:val="44"/>
        </w:rPr>
      </w:pPr>
      <w:r>
        <w:rPr>
          <w:b/>
          <w:bCs/>
          <w:sz w:val="44"/>
          <w:szCs w:val="44"/>
        </w:rPr>
        <w:t>20</w:t>
      </w:r>
      <w:r w:rsidR="00FE518D">
        <w:rPr>
          <w:rFonts w:hint="eastAsia"/>
          <w:b/>
          <w:bCs/>
          <w:sz w:val="44"/>
          <w:szCs w:val="44"/>
        </w:rPr>
        <w:t>21</w:t>
      </w:r>
      <w:r w:rsidR="00273861" w:rsidRPr="004C1465">
        <w:rPr>
          <w:rFonts w:hint="eastAsia"/>
          <w:b/>
          <w:bCs/>
          <w:sz w:val="44"/>
          <w:szCs w:val="44"/>
        </w:rPr>
        <w:t>年</w:t>
      </w:r>
      <w:r w:rsidR="00FE518D">
        <w:rPr>
          <w:rFonts w:hint="eastAsia"/>
          <w:b/>
          <w:bCs/>
          <w:sz w:val="44"/>
          <w:szCs w:val="44"/>
        </w:rPr>
        <w:t>04</w:t>
      </w:r>
      <w:r w:rsidR="00273861" w:rsidRPr="004C1465">
        <w:rPr>
          <w:rFonts w:hint="eastAsia"/>
          <w:b/>
          <w:bCs/>
          <w:sz w:val="44"/>
          <w:szCs w:val="44"/>
        </w:rPr>
        <w:t>月</w:t>
      </w:r>
    </w:p>
    <w:p w:rsidR="00273861" w:rsidRDefault="00273861">
      <w:pPr>
        <w:spacing w:before="6000" w:after="0"/>
        <w:jc w:val="center"/>
        <w:rPr>
          <w:b/>
          <w:bCs/>
          <w:sz w:val="32"/>
          <w:szCs w:val="32"/>
        </w:rPr>
        <w:sectPr w:rsidR="00273861" w:rsidSect="00562C5E">
          <w:headerReference w:type="default" r:id="rId9"/>
          <w:footerReference w:type="default" r:id="rId10"/>
          <w:pgSz w:w="11906" w:h="16838"/>
          <w:pgMar w:top="1440" w:right="1134" w:bottom="1440" w:left="1134" w:header="720" w:footer="720" w:gutter="0"/>
          <w:pgNumType w:start="0"/>
          <w:cols w:space="720"/>
          <w:noEndnote/>
          <w:titlePg/>
          <w:docGrid w:linePitch="245"/>
        </w:sectPr>
      </w:pPr>
    </w:p>
    <w:p w:rsidR="001D5C6F" w:rsidRDefault="001D5C6F" w:rsidP="001D5C6F">
      <w:pPr>
        <w:pStyle w:val="a3"/>
        <w:outlineLvl w:val="0"/>
      </w:pPr>
      <w:bookmarkStart w:id="0" w:name="_Toc300000084"/>
      <w:r>
        <w:lastRenderedPageBreak/>
        <w:t>第一节</w:t>
      </w:r>
      <w:r>
        <w:t xml:space="preserve"> </w:t>
      </w:r>
      <w:r>
        <w:t>重要提示</w:t>
      </w:r>
      <w:bookmarkEnd w:id="0"/>
    </w:p>
    <w:p w:rsidR="001D5C6F" w:rsidRDefault="001D5C6F" w:rsidP="001D5C6F">
      <w:pPr>
        <w:spacing w:before="100" w:after="100"/>
        <w:ind w:firstLineChars="200" w:firstLine="562"/>
        <w:rPr>
          <w:b/>
          <w:bCs/>
          <w:sz w:val="28"/>
          <w:szCs w:val="28"/>
        </w:rPr>
      </w:pPr>
      <w:r>
        <w:rPr>
          <w:b/>
          <w:bCs/>
          <w:sz w:val="28"/>
          <w:szCs w:val="28"/>
        </w:rPr>
        <w:t>公司董事会、监事会及董事、监事、高级管理人员保证季度报告内容的真实、准确、完整，不存在虚假记载、误导性陈述或者重大遗漏，并承担个别和连带的法律责任。</w:t>
      </w:r>
    </w:p>
    <w:p w:rsidR="001D5C6F" w:rsidRDefault="001D5C6F" w:rsidP="001D5C6F">
      <w:pPr>
        <w:spacing w:before="100" w:after="100"/>
        <w:ind w:firstLineChars="200" w:firstLine="562"/>
        <w:rPr>
          <w:b/>
          <w:bCs/>
          <w:sz w:val="28"/>
          <w:szCs w:val="28"/>
        </w:rPr>
      </w:pPr>
      <w:r>
        <w:rPr>
          <w:b/>
          <w:bCs/>
          <w:sz w:val="28"/>
          <w:szCs w:val="28"/>
        </w:rPr>
        <w:t>所有董事均已出席了审议本次季报的董事会会议。</w:t>
      </w:r>
    </w:p>
    <w:p w:rsidR="001D5C6F" w:rsidRDefault="001D5C6F" w:rsidP="001D5C6F">
      <w:pPr>
        <w:spacing w:before="100" w:after="100"/>
        <w:ind w:firstLineChars="200" w:firstLine="562"/>
        <w:rPr>
          <w:b/>
          <w:bCs/>
          <w:sz w:val="28"/>
          <w:szCs w:val="28"/>
        </w:rPr>
      </w:pPr>
      <w:r>
        <w:rPr>
          <w:b/>
          <w:bCs/>
          <w:sz w:val="28"/>
          <w:szCs w:val="28"/>
        </w:rPr>
        <w:t>公司负责人杨波、主管会计工作负责人屠建国及会计机构负责人</w:t>
      </w:r>
      <w:r>
        <w:rPr>
          <w:b/>
          <w:bCs/>
          <w:sz w:val="28"/>
          <w:szCs w:val="28"/>
        </w:rPr>
        <w:t>(</w:t>
      </w:r>
      <w:r>
        <w:rPr>
          <w:b/>
          <w:bCs/>
          <w:sz w:val="28"/>
          <w:szCs w:val="28"/>
        </w:rPr>
        <w:t>会计主管人员</w:t>
      </w:r>
      <w:r>
        <w:rPr>
          <w:b/>
          <w:bCs/>
          <w:sz w:val="28"/>
          <w:szCs w:val="28"/>
        </w:rPr>
        <w:t>)</w:t>
      </w:r>
      <w:r>
        <w:rPr>
          <w:b/>
          <w:bCs/>
          <w:sz w:val="28"/>
          <w:szCs w:val="28"/>
        </w:rPr>
        <w:t>朱国友声明：保证季度报告中财务报表的真实、准确、完整。</w:t>
      </w:r>
    </w:p>
    <w:p w:rsidR="001D5C6F" w:rsidRDefault="001D5C6F" w:rsidP="001D5C6F">
      <w:pPr>
        <w:spacing w:before="100" w:after="100"/>
        <w:ind w:firstLineChars="200" w:firstLine="562"/>
        <w:rPr>
          <w:b/>
          <w:bCs/>
          <w:sz w:val="28"/>
          <w:szCs w:val="28"/>
        </w:rPr>
        <w:sectPr w:rsidR="001D5C6F">
          <w:pgSz w:w="11906" w:h="16838"/>
          <w:pgMar w:top="1440" w:right="1134" w:bottom="1440" w:left="1134" w:header="851" w:footer="992" w:gutter="0"/>
          <w:cols w:space="425"/>
          <w:docGrid w:type="lines" w:linePitch="312"/>
        </w:sectPr>
      </w:pPr>
    </w:p>
    <w:p w:rsidR="001D5C6F" w:rsidRDefault="001D5C6F" w:rsidP="001D5C6F">
      <w:pPr>
        <w:pStyle w:val="a3"/>
        <w:outlineLvl w:val="0"/>
      </w:pPr>
      <w:bookmarkStart w:id="1" w:name="_Toc300000085"/>
      <w:r>
        <w:lastRenderedPageBreak/>
        <w:t>第二节</w:t>
      </w:r>
      <w:r>
        <w:t xml:space="preserve"> </w:t>
      </w:r>
      <w:r>
        <w:t>公司基本情况</w:t>
      </w:r>
      <w:bookmarkEnd w:id="1"/>
    </w:p>
    <w:p w:rsidR="001D5C6F" w:rsidRDefault="001D5C6F" w:rsidP="001D5C6F">
      <w:pPr>
        <w:pStyle w:val="Chapter"/>
        <w:outlineLvl w:val="1"/>
      </w:pPr>
      <w:r>
        <w:t>一、主要会计数据和财务指标</w:t>
      </w:r>
    </w:p>
    <w:p w:rsidR="001D5C6F" w:rsidRDefault="001D5C6F" w:rsidP="001D5C6F">
      <w:pPr>
        <w:jc w:val="left"/>
      </w:pPr>
      <w:r>
        <w:t>公司是否需追溯调整或重述以前年度会计数据</w:t>
      </w:r>
    </w:p>
    <w:p w:rsidR="001D5C6F" w:rsidRDefault="001D5C6F" w:rsidP="001D5C6F">
      <w:pPr>
        <w:jc w:val="left"/>
      </w:pPr>
      <w:r>
        <w:t xml:space="preserve">□ </w:t>
      </w:r>
      <w:r>
        <w:t>是</w:t>
      </w:r>
      <w:r>
        <w:t xml:space="preserve"> √ </w:t>
      </w:r>
      <w:r>
        <w:t>否</w:t>
      </w:r>
      <w:r>
        <w:t xml:space="preserve"> </w:t>
      </w:r>
    </w:p>
    <w:tbl>
      <w:tblPr>
        <w:tblW w:w="9781" w:type="dxa"/>
        <w:tblInd w:w="28" w:type="dxa"/>
        <w:tblLayout w:type="fixed"/>
        <w:tblCellMar>
          <w:left w:w="28" w:type="dxa"/>
          <w:right w:w="28" w:type="dxa"/>
        </w:tblCellMar>
        <w:tblLook w:val="0000"/>
      </w:tblPr>
      <w:tblGrid>
        <w:gridCol w:w="3203"/>
        <w:gridCol w:w="2122"/>
        <w:gridCol w:w="2122"/>
        <w:gridCol w:w="2334"/>
      </w:tblGrid>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本报告期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上年同期</w:t>
            </w:r>
          </w:p>
        </w:tc>
        <w:tc>
          <w:tcPr>
            <w:tcW w:w="2334"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本报告期比上年同期增减</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营业收入（元）</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2,441,436,242.73</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1,715,783,107.04</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42.29%</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归属于上市公司股东的净利润（元）</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138,192,141.26</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107,619,091.21</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28.41%</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归属于上市公司股东的扣除非经常性损益的净利润（元）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85,645,266.44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103,542,970.74</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-17.29%</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经营活动产生的现金流量净额（元）</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-431,644,688.46</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187,660,319.75</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-330.01%</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基本每股收益（元</w:t>
            </w:r>
            <w:r>
              <w:t>/</w:t>
            </w:r>
            <w:r>
              <w:t>股）</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0.072</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0.056</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28.57%</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稀释每股收益（元</w:t>
            </w:r>
            <w:r>
              <w:t>/</w:t>
            </w:r>
            <w:r>
              <w:t>股）</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0.072</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0.056</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28.57%</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加权平均净资产收益率</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2.39%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1.91%</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rPr>
                <w:rFonts w:hint="eastAsia"/>
              </w:rPr>
              <w:t>上升</w:t>
            </w:r>
            <w:r>
              <w:t>0.48</w:t>
            </w:r>
            <w:r>
              <w:rPr>
                <w:rFonts w:hint="eastAsia"/>
              </w:rPr>
              <w:t>个百分点</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本报告期末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上年度末</w:t>
            </w:r>
          </w:p>
        </w:tc>
        <w:tc>
          <w:tcPr>
            <w:tcW w:w="2334"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本报告期末比上年度末增减</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总资产（元）</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15,571,635,367.13</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14,918,522,060.04</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4.38%</w:t>
            </w:r>
          </w:p>
        </w:tc>
      </w:tr>
      <w:tr w:rsidR="001D5C6F" w:rsidTr="001D5C6F">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归属于上市公司股东的净资产（元）</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5,834,954,859.52</w:t>
            </w:r>
          </w:p>
        </w:tc>
        <w:tc>
          <w:tcPr>
            <w:tcW w:w="2122"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5,708,692,774.76</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2.21%</w:t>
            </w:r>
          </w:p>
        </w:tc>
      </w:tr>
    </w:tbl>
    <w:p w:rsidR="001D5C6F" w:rsidRDefault="001D5C6F" w:rsidP="001D5C6F">
      <w:pPr>
        <w:jc w:val="left"/>
      </w:pPr>
      <w:r>
        <w:t>非经常性损益项目和金额</w:t>
      </w:r>
    </w:p>
    <w:p w:rsidR="001D5C6F" w:rsidRDefault="001D5C6F" w:rsidP="001D5C6F">
      <w:pPr>
        <w:jc w:val="left"/>
      </w:pPr>
      <w:r>
        <w:t xml:space="preserve">√ </w:t>
      </w:r>
      <w:r>
        <w:t>适用</w:t>
      </w:r>
      <w:r>
        <w:t xml:space="preserve"> □ </w:t>
      </w:r>
      <w:r>
        <w:t>不适用</w:t>
      </w:r>
      <w:r>
        <w:t xml:space="preserve"> </w:t>
      </w:r>
    </w:p>
    <w:p w:rsidR="001D5C6F" w:rsidRDefault="001D5C6F" w:rsidP="001D5C6F">
      <w:pPr>
        <w:jc w:val="right"/>
      </w:pPr>
      <w:r>
        <w:t>单位：元</w:t>
      </w:r>
    </w:p>
    <w:tbl>
      <w:tblPr>
        <w:tblW w:w="0" w:type="auto"/>
        <w:tblInd w:w="28" w:type="dxa"/>
        <w:tblLayout w:type="fixed"/>
        <w:tblCellMar>
          <w:left w:w="28" w:type="dxa"/>
          <w:right w:w="28" w:type="dxa"/>
        </w:tblCellMar>
        <w:tblLook w:val="0000"/>
      </w:tblPr>
      <w:tblGrid>
        <w:gridCol w:w="5387"/>
        <w:gridCol w:w="2268"/>
        <w:gridCol w:w="1913"/>
      </w:tblGrid>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年初至报告期期末金额</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说明</w:t>
            </w: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非流动资产处置损益（包括已计提资产减值准备的冲销部分）</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363,002.78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计入当期损益的政府补助（与企业业务密切相关，按照国家统一标准定额或定量享受的政府补助除外）</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49,801,183.04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11,359,872.09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除上述各项之外的其他营业外收入和支出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449,911.56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减：所得税影响额</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9,366,170.51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 xml:space="preserve">　　少数股东权益影响额（税后）</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60,924.14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p>
        </w:tc>
      </w:tr>
      <w:tr w:rsidR="001D5C6F" w:rsidTr="001D5C6F">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合计</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52,546,874.82</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w:t>
            </w:r>
          </w:p>
        </w:tc>
      </w:tr>
    </w:tbl>
    <w:p w:rsidR="001D5C6F" w:rsidRDefault="001D5C6F" w:rsidP="001D5C6F">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1D5C6F" w:rsidRDefault="001D5C6F" w:rsidP="001D5C6F">
      <w:pPr>
        <w:jc w:val="left"/>
      </w:pPr>
      <w:r>
        <w:lastRenderedPageBreak/>
        <w:t xml:space="preserve">□ </w:t>
      </w:r>
      <w:r>
        <w:t>适用</w:t>
      </w:r>
      <w:r>
        <w:t xml:space="preserve"> √ </w:t>
      </w:r>
      <w:r>
        <w:t>不适用</w:t>
      </w:r>
      <w:r>
        <w:t xml:space="preserve"> </w:t>
      </w:r>
    </w:p>
    <w:p w:rsidR="001D5C6F" w:rsidRDefault="001D5C6F" w:rsidP="001D5C6F">
      <w:pPr>
        <w:jc w:val="left"/>
      </w:pPr>
      <w:r>
        <w:t>公司报告期不存在将根据《公开发行证券的公司信息披露解释性公告第</w:t>
      </w:r>
      <w:r>
        <w:t>1</w:t>
      </w:r>
      <w:r>
        <w:t>号</w:t>
      </w:r>
      <w:r>
        <w:t>——</w:t>
      </w:r>
      <w:r>
        <w:t>非经常性损益》定义、列举的非经常性损益项目界定为经常性损益的项目的情形。</w:t>
      </w:r>
    </w:p>
    <w:p w:rsidR="001D5C6F" w:rsidRDefault="001D5C6F" w:rsidP="001D5C6F">
      <w:pPr>
        <w:pStyle w:val="Chapter"/>
        <w:outlineLvl w:val="1"/>
      </w:pPr>
      <w:r>
        <w:t>二、报告期末股东总数及前十名股东持股情况表</w:t>
      </w:r>
    </w:p>
    <w:p w:rsidR="001D5C6F" w:rsidRDefault="001D5C6F" w:rsidP="001D5C6F">
      <w:pPr>
        <w:pStyle w:val="Section"/>
        <w:outlineLvl w:val="2"/>
      </w:pPr>
      <w:r>
        <w:t>1</w:t>
      </w:r>
      <w:r>
        <w:t>、普通股股东总数和表决权恢复的优先股股东数量及前</w:t>
      </w:r>
      <w:r>
        <w:t>10</w:t>
      </w:r>
      <w:r>
        <w:t>名股东持股情况表</w:t>
      </w:r>
    </w:p>
    <w:p w:rsidR="001D5C6F" w:rsidRDefault="001D5C6F" w:rsidP="001D5C6F">
      <w:pPr>
        <w:jc w:val="right"/>
      </w:pPr>
      <w:r>
        <w:t>单位：股</w:t>
      </w:r>
    </w:p>
    <w:tbl>
      <w:tblPr>
        <w:tblW w:w="0" w:type="auto"/>
        <w:tblInd w:w="28" w:type="dxa"/>
        <w:tblLayout w:type="fixed"/>
        <w:tblCellMar>
          <w:left w:w="28" w:type="dxa"/>
          <w:right w:w="28" w:type="dxa"/>
        </w:tblCellMar>
        <w:tblLook w:val="0000"/>
      </w:tblPr>
      <w:tblGrid>
        <w:gridCol w:w="2268"/>
        <w:gridCol w:w="462"/>
        <w:gridCol w:w="672"/>
        <w:gridCol w:w="426"/>
        <w:gridCol w:w="270"/>
        <w:gridCol w:w="722"/>
        <w:gridCol w:w="1417"/>
        <w:gridCol w:w="597"/>
        <w:gridCol w:w="679"/>
        <w:gridCol w:w="689"/>
        <w:gridCol w:w="587"/>
        <w:gridCol w:w="781"/>
      </w:tblGrid>
      <w:tr w:rsidR="001D5C6F" w:rsidTr="001D5C6F">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报告期末普通股股东总数</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89,521</w:t>
            </w:r>
          </w:p>
        </w:tc>
        <w:tc>
          <w:tcPr>
            <w:tcW w:w="273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报告期末表决权恢复的优先股股东总数（如有）</w:t>
            </w:r>
          </w:p>
        </w:tc>
        <w:tc>
          <w:tcPr>
            <w:tcW w:w="27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0</w:t>
            </w:r>
          </w:p>
        </w:tc>
      </w:tr>
      <w:tr w:rsidR="001D5C6F" w:rsidTr="001D5C6F">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前</w:t>
            </w:r>
            <w:r>
              <w:t>10</w:t>
            </w:r>
            <w:r>
              <w:t>名股东持股情况</w:t>
            </w:r>
          </w:p>
        </w:tc>
      </w:tr>
      <w:tr w:rsidR="001D5C6F" w:rsidTr="001D5C6F">
        <w:tc>
          <w:tcPr>
            <w:tcW w:w="22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股东名称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股东性质</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持股比例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持股数量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持有有限售条件的股份数量</w:t>
            </w:r>
          </w:p>
        </w:tc>
        <w:tc>
          <w:tcPr>
            <w:tcW w:w="205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质押或冻结情况</w:t>
            </w:r>
          </w:p>
        </w:tc>
      </w:tr>
      <w:tr w:rsidR="001D5C6F" w:rsidTr="001D5C6F">
        <w:tc>
          <w:tcPr>
            <w:tcW w:w="2268" w:type="dxa"/>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股份状态</w:t>
            </w:r>
          </w:p>
        </w:tc>
        <w:tc>
          <w:tcPr>
            <w:tcW w:w="78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数量</w:t>
            </w: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云南云内动力集团有限公司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国有法人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32.99%</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650,142,393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昆明云内动力股份有限公司回购专用证券账户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境内非国有法人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2.56%</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50,458,909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张杰明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1.52%</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29,860,941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贾跃峰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1.24%</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24,487,972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李娟</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1.07%</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21,155,800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云南国际信托有限公司－云南信托</w:t>
            </w:r>
            <w:r>
              <w:t>·</w:t>
            </w:r>
            <w:r>
              <w:t>大西部丝绸之路</w:t>
            </w:r>
            <w:r>
              <w:t>2</w:t>
            </w:r>
            <w:r>
              <w:t>号集合资金信托计划</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其他</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0.99%</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19,542,813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卢云果</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0.91%</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18,010,000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深圳市华科泰瑞电子合伙企业（有限合伙）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境内非国有法人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0.50%</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9,885,408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沈金虎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0.50%</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9,777,100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2268"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周盛</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境内自然人</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0.41%</w:t>
            </w:r>
          </w:p>
        </w:tc>
        <w:tc>
          <w:tcPr>
            <w:tcW w:w="1417" w:type="dxa"/>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8,059,000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p>
        </w:tc>
      </w:tr>
      <w:tr w:rsidR="001D5C6F" w:rsidTr="001D5C6F">
        <w:tc>
          <w:tcPr>
            <w:tcW w:w="9570"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前</w:t>
            </w:r>
            <w:r>
              <w:t>10</w:t>
            </w:r>
            <w:r>
              <w:t>名无限售条件股东持股情况</w:t>
            </w:r>
          </w:p>
        </w:tc>
      </w:tr>
      <w:tr w:rsidR="001D5C6F" w:rsidTr="001D5C6F">
        <w:tc>
          <w:tcPr>
            <w:tcW w:w="3828"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股东名称</w:t>
            </w:r>
          </w:p>
        </w:tc>
        <w:tc>
          <w:tcPr>
            <w:tcW w:w="3006"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持有无限售条件股份数量</w:t>
            </w:r>
          </w:p>
        </w:tc>
        <w:tc>
          <w:tcPr>
            <w:tcW w:w="273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股份种类</w:t>
            </w:r>
          </w:p>
        </w:tc>
      </w:tr>
      <w:tr w:rsidR="001D5C6F" w:rsidTr="001D5C6F">
        <w:tc>
          <w:tcPr>
            <w:tcW w:w="3828" w:type="dxa"/>
            <w:gridSpan w:val="4"/>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3006" w:type="dxa"/>
            <w:gridSpan w:val="4"/>
            <w:vMerge/>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cente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股份种类</w:t>
            </w:r>
          </w:p>
        </w:tc>
        <w:tc>
          <w:tcPr>
            <w:tcW w:w="13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pPr>
            <w:r>
              <w:t>数量</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云南云内动力集团有限公司</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650,142,393</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650,142,393</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昆明云内动力股份有限公司回购专用证券账户</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50,458,909</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50,458,909</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张杰明</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29,860,941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29,860,941</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贾跃峰</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24,487,972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24,487,972</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李娟</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21,155,800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21,155,800</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云南国际信托有限公司－云南信托</w:t>
            </w:r>
            <w:r>
              <w:t>·</w:t>
            </w:r>
            <w:r>
              <w:t>大西部丝绸</w:t>
            </w:r>
            <w:r>
              <w:lastRenderedPageBreak/>
              <w:t>之路</w:t>
            </w:r>
            <w:r>
              <w:t>2</w:t>
            </w:r>
            <w:r>
              <w:t>号集合资金信托计划</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lastRenderedPageBreak/>
              <w:t>19,542,813</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19,542,813</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lastRenderedPageBreak/>
              <w:t>卢云果</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18,010,000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18,010,000</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深圳市华科泰瑞电子合伙企业（有限合伙）</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9,885,408</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9,885,408</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沈金虎</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9,777,100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9,777,100</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left"/>
            </w:pPr>
            <w:r>
              <w:t>周盛</w:t>
            </w:r>
          </w:p>
        </w:tc>
        <w:tc>
          <w:tcPr>
            <w:tcW w:w="3006" w:type="dxa"/>
            <w:gridSpan w:val="4"/>
            <w:tcBorders>
              <w:top w:val="single" w:sz="4" w:space="0" w:color="auto"/>
              <w:left w:val="single" w:sz="4" w:space="0" w:color="auto"/>
              <w:bottom w:val="single" w:sz="4" w:space="0" w:color="auto"/>
              <w:right w:val="single" w:sz="4" w:space="0" w:color="auto"/>
            </w:tcBorders>
            <w:vAlign w:val="center"/>
          </w:tcPr>
          <w:p w:rsidR="001D5C6F" w:rsidRDefault="001D5C6F" w:rsidP="001D5C6F">
            <w:pPr>
              <w:jc w:val="right"/>
            </w:pPr>
            <w:r>
              <w:t>8,059,000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人民币普通股</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pPr>
            <w:r>
              <w:t>8,059,000</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上述股东关联关系或一致行动的说明</w:t>
            </w:r>
          </w:p>
        </w:tc>
        <w:tc>
          <w:tcPr>
            <w:tcW w:w="574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报告期末，上述前</w:t>
            </w:r>
            <w:r>
              <w:t>10</w:t>
            </w:r>
            <w:r>
              <w:t>名股东中云南云内动力集团有限公司为公司控股股东，云南云内动力集团有限公司与昆明云内动力股份有限公司回购专用证券账户之间存在关联关系，云南云内动力集团有限公司及昆明云内动力股份有限公司回购专用证券账户与社会公众股股东之间不存在关联关系及一致行动人关系。股东贾跃峰与李娟为夫妻；股东张杰明与卢云果为夫妻；其他社会公众股股东之间未知是否存在关联关系或是否属于《上市公司收购管理办法》规定的一致行动人关系。</w:t>
            </w:r>
          </w:p>
        </w:tc>
      </w:tr>
      <w:tr w:rsidR="001D5C6F" w:rsidTr="001D5C6F">
        <w:tc>
          <w:tcPr>
            <w:tcW w:w="38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pPr>
            <w:r>
              <w:t>前</w:t>
            </w:r>
            <w:r>
              <w:t>10</w:t>
            </w:r>
            <w:r>
              <w:t>名股东参与融资融券业务情况说明（如有）</w:t>
            </w:r>
          </w:p>
        </w:tc>
        <w:tc>
          <w:tcPr>
            <w:tcW w:w="574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pPr>
            <w:r>
              <w:t>无</w:t>
            </w:r>
          </w:p>
        </w:tc>
      </w:tr>
    </w:tbl>
    <w:p w:rsidR="001D5C6F" w:rsidRDefault="001D5C6F" w:rsidP="001D5C6F">
      <w:pPr>
        <w:jc w:val="left"/>
      </w:pPr>
      <w:r>
        <w:t>公司前</w:t>
      </w:r>
      <w:r>
        <w:t>10</w:t>
      </w:r>
      <w:r>
        <w:t>名普通股股东、前</w:t>
      </w:r>
      <w:r>
        <w:t>10</w:t>
      </w:r>
      <w:r>
        <w:t>名无限售条件普通股股东在报告期内是否进行约定购回交易</w:t>
      </w:r>
    </w:p>
    <w:p w:rsidR="001D5C6F" w:rsidRDefault="001D5C6F" w:rsidP="001D5C6F">
      <w:pPr>
        <w:jc w:val="left"/>
      </w:pPr>
      <w:r>
        <w:t xml:space="preserve">□ </w:t>
      </w:r>
      <w:r>
        <w:t>是</w:t>
      </w:r>
      <w:r>
        <w:t xml:space="preserve"> √ </w:t>
      </w:r>
      <w:r>
        <w:t>否</w:t>
      </w:r>
      <w:r>
        <w:t xml:space="preserve"> </w:t>
      </w:r>
    </w:p>
    <w:p w:rsidR="001D5C6F" w:rsidRDefault="001D5C6F" w:rsidP="001D5C6F">
      <w:pPr>
        <w:jc w:val="left"/>
      </w:pPr>
      <w:r>
        <w:t>公司前</w:t>
      </w:r>
      <w:r>
        <w:t>10</w:t>
      </w:r>
      <w:r>
        <w:t>名普通股股东、前</w:t>
      </w:r>
      <w:r>
        <w:t>10</w:t>
      </w:r>
      <w:r>
        <w:t>名无限售条件普通股股东在报告期内未进行约定购回交易。</w:t>
      </w:r>
    </w:p>
    <w:p w:rsidR="001D5C6F" w:rsidRDefault="001D5C6F" w:rsidP="001D5C6F">
      <w:pPr>
        <w:pStyle w:val="Section"/>
        <w:outlineLvl w:val="2"/>
      </w:pPr>
      <w:r>
        <w:t>2</w:t>
      </w:r>
      <w:r>
        <w:t>、公司优先股股东总数及前</w:t>
      </w:r>
      <w:r>
        <w:t>10</w:t>
      </w:r>
      <w:r>
        <w:t>名优先股股东持股情况表</w:t>
      </w:r>
    </w:p>
    <w:p w:rsidR="001D5C6F" w:rsidRDefault="001D5C6F" w:rsidP="001D5C6F">
      <w:pPr>
        <w:jc w:val="left"/>
      </w:pPr>
      <w:r>
        <w:t xml:space="preserve">□ </w:t>
      </w:r>
      <w:r>
        <w:t>适用</w:t>
      </w:r>
      <w:r>
        <w:t xml:space="preserve"> √ </w:t>
      </w:r>
      <w:r>
        <w:t>不适用</w:t>
      </w:r>
      <w:r>
        <w:t xml:space="preserve"> </w:t>
      </w:r>
    </w:p>
    <w:p w:rsidR="001D5C6F" w:rsidRDefault="001D5C6F" w:rsidP="001D5C6F">
      <w:pPr>
        <w:jc w:val="left"/>
        <w:sectPr w:rsidR="001D5C6F">
          <w:pgSz w:w="11906" w:h="16838"/>
          <w:pgMar w:top="1440" w:right="1134" w:bottom="1440" w:left="1134" w:header="851" w:footer="992" w:gutter="0"/>
          <w:cols w:space="425"/>
          <w:docGrid w:type="lines" w:linePitch="312"/>
        </w:sectPr>
      </w:pPr>
    </w:p>
    <w:p w:rsidR="001D5C6F" w:rsidRDefault="001D5C6F" w:rsidP="001D5C6F">
      <w:pPr>
        <w:pStyle w:val="a3"/>
        <w:outlineLvl w:val="0"/>
      </w:pPr>
      <w:bookmarkStart w:id="2" w:name="_Toc300000086"/>
      <w:r>
        <w:lastRenderedPageBreak/>
        <w:t>第三节</w:t>
      </w:r>
      <w:r>
        <w:t xml:space="preserve"> </w:t>
      </w:r>
      <w:r>
        <w:t>重要事项</w:t>
      </w:r>
      <w:bookmarkEnd w:id="2"/>
    </w:p>
    <w:p w:rsidR="001D5C6F" w:rsidRDefault="001D5C6F" w:rsidP="001D5C6F">
      <w:pPr>
        <w:pStyle w:val="Chapter"/>
        <w:outlineLvl w:val="1"/>
      </w:pPr>
      <w:r>
        <w:t>一、报告期主要财务数据、财务指标发生变动的情况及原因</w:t>
      </w:r>
    </w:p>
    <w:p w:rsidR="001D5C6F" w:rsidRDefault="001D5C6F" w:rsidP="001D5C6F">
      <w:pPr>
        <w:jc w:val="left"/>
      </w:pPr>
      <w:r>
        <w:t xml:space="preserve">√ </w:t>
      </w:r>
      <w:r>
        <w:t>适用</w:t>
      </w:r>
      <w:r>
        <w:t xml:space="preserve"> □ </w:t>
      </w:r>
      <w:r>
        <w:t>不适用</w:t>
      </w:r>
      <w:r>
        <w:t xml:space="preserve"> </w:t>
      </w:r>
    </w:p>
    <w:p w:rsidR="001D5C6F" w:rsidRDefault="001D5C6F" w:rsidP="001D5C6F">
      <w:pPr>
        <w:autoSpaceDE w:val="0"/>
        <w:autoSpaceDN w:val="0"/>
        <w:adjustRightInd w:val="0"/>
        <w:spacing w:before="240" w:after="120"/>
        <w:jc w:val="left"/>
        <w:rPr>
          <w:rFonts w:eastAsia="Times New Roman"/>
          <w:b/>
          <w:bCs/>
          <w:sz w:val="21"/>
          <w:szCs w:val="21"/>
          <w:lang w:val="zh-CN"/>
        </w:rPr>
      </w:pPr>
      <w:r>
        <w:rPr>
          <w:rFonts w:eastAsia="Times New Roman"/>
          <w:b/>
          <w:bCs/>
          <w:sz w:val="21"/>
          <w:szCs w:val="21"/>
          <w:lang w:val="zh-CN"/>
        </w:rPr>
        <w:t>1</w:t>
      </w:r>
      <w:r>
        <w:rPr>
          <w:rFonts w:ascii="宋体" w:hAnsi="宋体" w:cs="宋体" w:hint="eastAsia"/>
          <w:b/>
          <w:bCs/>
          <w:sz w:val="21"/>
          <w:szCs w:val="21"/>
          <w:lang w:val="zh-CN"/>
        </w:rPr>
        <w:t>、资产负债表项目</w:t>
      </w:r>
    </w:p>
    <w:p w:rsidR="001D5C6F" w:rsidRPr="001D5C6F" w:rsidRDefault="001D5C6F" w:rsidP="001D5C6F">
      <w:pPr>
        <w:autoSpaceDE w:val="0"/>
        <w:autoSpaceDN w:val="0"/>
        <w:adjustRightInd w:val="0"/>
        <w:spacing w:before="240" w:after="120"/>
        <w:ind w:firstLineChars="4200" w:firstLine="8820"/>
        <w:jc w:val="left"/>
        <w:rPr>
          <w:rFonts w:eastAsia="Times New Roman"/>
          <w:sz w:val="21"/>
          <w:lang w:val="zh-CN"/>
        </w:rPr>
      </w:pPr>
      <w:r w:rsidRPr="001D5C6F">
        <w:rPr>
          <w:rFonts w:ascii="宋体" w:hAnsi="宋体" w:cs="宋体" w:hint="eastAsia"/>
          <w:sz w:val="21"/>
          <w:lang w:val="zh-CN"/>
        </w:rPr>
        <w:t>单位：元</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434"/>
        <w:gridCol w:w="1984"/>
        <w:gridCol w:w="1985"/>
        <w:gridCol w:w="1275"/>
        <w:gridCol w:w="3544"/>
      </w:tblGrid>
      <w:tr w:rsidR="001D5C6F" w:rsidTr="001D5C6F">
        <w:trPr>
          <w:jc w:val="center"/>
        </w:trPr>
        <w:tc>
          <w:tcPr>
            <w:tcW w:w="1434" w:type="dxa"/>
            <w:shd w:val="clear" w:color="auto" w:fill="D9D9D9"/>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项</w:t>
            </w:r>
            <w:r>
              <w:rPr>
                <w:rFonts w:eastAsia="Times New Roman"/>
                <w:b/>
                <w:sz w:val="21"/>
                <w:lang w:val="zh-CN"/>
              </w:rPr>
              <w:t xml:space="preserve">  </w:t>
            </w:r>
            <w:r>
              <w:rPr>
                <w:rFonts w:ascii="宋体" w:hAnsi="宋体" w:cs="宋体" w:hint="eastAsia"/>
                <w:b/>
                <w:sz w:val="21"/>
                <w:lang w:val="zh-CN"/>
              </w:rPr>
              <w:t>目</w:t>
            </w:r>
          </w:p>
        </w:tc>
        <w:tc>
          <w:tcPr>
            <w:tcW w:w="1984" w:type="dxa"/>
            <w:shd w:val="clear" w:color="auto" w:fill="D9D9D9"/>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2021</w:t>
            </w:r>
            <w:r>
              <w:rPr>
                <w:rFonts w:ascii="宋体" w:hAnsi="宋体" w:cs="宋体" w:hint="eastAsia"/>
                <w:b/>
                <w:sz w:val="21"/>
                <w:lang w:val="zh-CN"/>
              </w:rPr>
              <w:t>年</w:t>
            </w:r>
            <w:r>
              <w:rPr>
                <w:rFonts w:eastAsia="Times New Roman"/>
                <w:b/>
                <w:sz w:val="21"/>
                <w:lang w:val="zh-CN"/>
              </w:rPr>
              <w:t>3</w:t>
            </w:r>
            <w:r>
              <w:rPr>
                <w:rFonts w:ascii="宋体" w:hAnsi="宋体" w:cs="宋体" w:hint="eastAsia"/>
                <w:b/>
                <w:sz w:val="21"/>
                <w:lang w:val="zh-CN"/>
              </w:rPr>
              <w:t>月</w:t>
            </w:r>
            <w:r>
              <w:rPr>
                <w:rFonts w:eastAsia="Times New Roman"/>
                <w:b/>
                <w:sz w:val="21"/>
                <w:lang w:val="zh-CN"/>
              </w:rPr>
              <w:t>31</w:t>
            </w:r>
            <w:r>
              <w:rPr>
                <w:rFonts w:ascii="宋体" w:hAnsi="宋体" w:cs="宋体" w:hint="eastAsia"/>
                <w:b/>
                <w:sz w:val="21"/>
                <w:lang w:val="zh-CN"/>
              </w:rPr>
              <w:t>日</w:t>
            </w:r>
          </w:p>
        </w:tc>
        <w:tc>
          <w:tcPr>
            <w:tcW w:w="1985" w:type="dxa"/>
            <w:shd w:val="clear" w:color="auto" w:fill="D9D9D9"/>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2020</w:t>
            </w:r>
            <w:r>
              <w:rPr>
                <w:rFonts w:ascii="宋体" w:hAnsi="宋体" w:cs="宋体" w:hint="eastAsia"/>
                <w:b/>
                <w:sz w:val="21"/>
                <w:lang w:val="zh-CN"/>
              </w:rPr>
              <w:t>年</w:t>
            </w:r>
            <w:r>
              <w:rPr>
                <w:rFonts w:eastAsia="Times New Roman"/>
                <w:b/>
                <w:sz w:val="21"/>
                <w:lang w:val="zh-CN"/>
              </w:rPr>
              <w:t>12</w:t>
            </w:r>
            <w:r>
              <w:rPr>
                <w:rFonts w:ascii="宋体" w:hAnsi="宋体" w:cs="宋体" w:hint="eastAsia"/>
                <w:b/>
                <w:sz w:val="21"/>
                <w:lang w:val="zh-CN"/>
              </w:rPr>
              <w:t>月</w:t>
            </w:r>
            <w:r>
              <w:rPr>
                <w:rFonts w:eastAsia="Times New Roman"/>
                <w:b/>
                <w:sz w:val="21"/>
                <w:lang w:val="zh-CN"/>
              </w:rPr>
              <w:t>31</w:t>
            </w:r>
            <w:r>
              <w:rPr>
                <w:rFonts w:ascii="宋体" w:hAnsi="宋体" w:cs="宋体" w:hint="eastAsia"/>
                <w:b/>
                <w:sz w:val="21"/>
                <w:lang w:val="zh-CN"/>
              </w:rPr>
              <w:t>日</w:t>
            </w:r>
          </w:p>
        </w:tc>
        <w:tc>
          <w:tcPr>
            <w:tcW w:w="1275" w:type="dxa"/>
            <w:shd w:val="clear" w:color="auto" w:fill="D9D9D9"/>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增减变动</w:t>
            </w:r>
          </w:p>
        </w:tc>
        <w:tc>
          <w:tcPr>
            <w:tcW w:w="3544" w:type="dxa"/>
            <w:shd w:val="clear" w:color="auto" w:fill="D9D9D9"/>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变动原因</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应收账款</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2,646,814,188.80</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1,369,924,251.22</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93.21%</w:t>
            </w:r>
          </w:p>
        </w:tc>
        <w:tc>
          <w:tcPr>
            <w:tcW w:w="3544"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主要原因是为了抢占国六柴油机市场，本期适当延长了货款的账期所致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应收款项融资</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383,547,570.80</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1,149,009,633.26</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-66.62%</w:t>
            </w:r>
          </w:p>
        </w:tc>
        <w:tc>
          <w:tcPr>
            <w:tcW w:w="3544"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主要原因是本期票据贴现及背书增加</w:t>
            </w:r>
            <w:r w:rsidR="00611DD8" w:rsidRPr="00611DD8">
              <w:rPr>
                <w:rFonts w:ascii="宋体" w:hAnsi="宋体" w:cs="宋体" w:hint="eastAsia"/>
                <w:lang w:val="zh-CN"/>
              </w:rPr>
              <w:t>、票据回款减少</w:t>
            </w:r>
            <w:r w:rsidRPr="00611DD8">
              <w:rPr>
                <w:rFonts w:ascii="宋体" w:hAnsi="宋体" w:cs="宋体" w:hint="eastAsia"/>
                <w:lang w:val="zh-CN"/>
              </w:rPr>
              <w:t>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其他流动资产</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61,284,127.65</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35,977,874.87</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70.34%</w:t>
            </w:r>
          </w:p>
        </w:tc>
        <w:tc>
          <w:tcPr>
            <w:tcW w:w="3544"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主要原因是本期进项税额增加所致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在建工程</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433,921,021.50</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304,376,081.37</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42.56%</w:t>
            </w:r>
          </w:p>
        </w:tc>
        <w:tc>
          <w:tcPr>
            <w:tcW w:w="3544"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主要原因是本期国六柴油机及</w:t>
            </w:r>
            <w:r w:rsidRPr="00611DD8">
              <w:rPr>
                <w:rFonts w:eastAsia="Times New Roman"/>
                <w:lang w:val="zh-CN"/>
              </w:rPr>
              <w:t>G</w:t>
            </w:r>
            <w:r w:rsidRPr="00611DD8">
              <w:rPr>
                <w:rFonts w:ascii="宋体" w:hAnsi="宋体" w:cs="宋体" w:hint="eastAsia"/>
                <w:lang w:val="zh-CN"/>
              </w:rPr>
              <w:t>系列汽油机生产线增加投入所致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短期借款</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53,066,111.11</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200,298,117.75</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-73.51%</w:t>
            </w:r>
          </w:p>
        </w:tc>
        <w:tc>
          <w:tcPr>
            <w:tcW w:w="3544"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主要原因是本期归还流动资金借款所致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交易性金融负债</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0.00</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17,555,094.75</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-100.00%</w:t>
            </w:r>
          </w:p>
        </w:tc>
        <w:tc>
          <w:tcPr>
            <w:tcW w:w="3544" w:type="dxa"/>
            <w:vAlign w:val="center"/>
          </w:tcPr>
          <w:p w:rsidR="001D5C6F" w:rsidRPr="00611DD8" w:rsidRDefault="001D5C6F" w:rsidP="00611DD8">
            <w:pPr>
              <w:autoSpaceDE w:val="0"/>
              <w:autoSpaceDN w:val="0"/>
              <w:adjustRightInd w:val="0"/>
              <w:spacing w:before="0" w:after="0"/>
              <w:rPr>
                <w:rFonts w:eastAsia="Times New Roman"/>
                <w:lang w:val="zh-CN"/>
              </w:rPr>
            </w:pPr>
            <w:r w:rsidRPr="00611DD8">
              <w:rPr>
                <w:rFonts w:ascii="宋体" w:hAnsi="宋体" w:cs="宋体" w:hint="eastAsia"/>
                <w:lang w:val="zh-CN"/>
              </w:rPr>
              <w:t>主要原因是</w:t>
            </w:r>
            <w:r w:rsidR="00611DD8" w:rsidRPr="00611DD8">
              <w:rPr>
                <w:rFonts w:ascii="宋体" w:hAnsi="宋体" w:cs="宋体" w:hint="eastAsia"/>
                <w:lang w:val="zh-CN"/>
              </w:rPr>
              <w:t>本期已偿付外币借款，对应的外汇</w:t>
            </w:r>
            <w:r w:rsidRPr="00611DD8">
              <w:rPr>
                <w:rFonts w:ascii="宋体" w:hAnsi="宋体" w:cs="宋体" w:hint="eastAsia"/>
                <w:lang w:val="zh-CN"/>
              </w:rPr>
              <w:t>掉期工具</w:t>
            </w:r>
            <w:r w:rsidR="00611DD8" w:rsidRPr="00611DD8">
              <w:rPr>
                <w:rFonts w:ascii="宋体" w:hAnsi="宋体" w:cs="宋体" w:hint="eastAsia"/>
                <w:lang w:val="zh-CN"/>
              </w:rPr>
              <w:t>同步结转</w:t>
            </w:r>
            <w:r w:rsidRPr="00611DD8">
              <w:rPr>
                <w:rFonts w:ascii="宋体" w:hAnsi="宋体" w:cs="宋体" w:hint="eastAsia"/>
                <w:lang w:val="zh-CN"/>
              </w:rPr>
              <w:t>所致</w:t>
            </w:r>
          </w:p>
        </w:tc>
      </w:tr>
      <w:tr w:rsidR="001D5C6F" w:rsidTr="001D5C6F">
        <w:trPr>
          <w:jc w:val="center"/>
        </w:trPr>
        <w:tc>
          <w:tcPr>
            <w:tcW w:w="1434"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其他应付款</w:t>
            </w:r>
          </w:p>
        </w:tc>
        <w:tc>
          <w:tcPr>
            <w:tcW w:w="1984"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551,350,211.83</w:t>
            </w:r>
          </w:p>
        </w:tc>
        <w:tc>
          <w:tcPr>
            <w:tcW w:w="198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340,650,940.10</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61.85%</w:t>
            </w:r>
          </w:p>
        </w:tc>
        <w:tc>
          <w:tcPr>
            <w:tcW w:w="3544"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主要原因是本期调整年度供方质保金所致</w:t>
            </w:r>
          </w:p>
        </w:tc>
      </w:tr>
    </w:tbl>
    <w:p w:rsidR="001D5C6F" w:rsidRDefault="001D5C6F" w:rsidP="001D5C6F">
      <w:pPr>
        <w:autoSpaceDE w:val="0"/>
        <w:autoSpaceDN w:val="0"/>
        <w:adjustRightInd w:val="0"/>
        <w:spacing w:before="240" w:after="0"/>
        <w:jc w:val="left"/>
        <w:rPr>
          <w:rFonts w:eastAsia="Times New Roman"/>
          <w:b/>
          <w:sz w:val="21"/>
          <w:lang w:val="zh-CN"/>
        </w:rPr>
      </w:pPr>
      <w:r>
        <w:rPr>
          <w:rFonts w:eastAsia="Times New Roman"/>
          <w:b/>
          <w:sz w:val="21"/>
          <w:lang w:val="zh-CN"/>
        </w:rPr>
        <w:t>2</w:t>
      </w:r>
      <w:r>
        <w:rPr>
          <w:rFonts w:ascii="宋体" w:hAnsi="宋体" w:cs="宋体" w:hint="eastAsia"/>
          <w:b/>
          <w:sz w:val="21"/>
          <w:lang w:val="zh-CN"/>
        </w:rPr>
        <w:t>、利润表项目</w:t>
      </w:r>
    </w:p>
    <w:p w:rsidR="001D5C6F" w:rsidRPr="001D5C6F" w:rsidRDefault="001D5C6F" w:rsidP="001D5C6F">
      <w:pPr>
        <w:autoSpaceDE w:val="0"/>
        <w:autoSpaceDN w:val="0"/>
        <w:adjustRightInd w:val="0"/>
        <w:spacing w:before="240" w:after="0"/>
        <w:ind w:firstLineChars="4206" w:firstLine="8833"/>
        <w:jc w:val="left"/>
        <w:rPr>
          <w:rFonts w:eastAsia="Times New Roman"/>
          <w:sz w:val="21"/>
          <w:lang w:val="zh-CN"/>
        </w:rPr>
      </w:pPr>
      <w:r w:rsidRPr="001D5C6F">
        <w:rPr>
          <w:rFonts w:ascii="宋体" w:hAnsi="宋体" w:cs="宋体" w:hint="eastAsia"/>
          <w:sz w:val="21"/>
          <w:lang w:val="zh-CN"/>
        </w:rPr>
        <w:t>单位：元</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700"/>
        <w:gridCol w:w="1843"/>
        <w:gridCol w:w="1701"/>
        <w:gridCol w:w="1275"/>
        <w:gridCol w:w="3787"/>
      </w:tblGrid>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项</w:t>
            </w:r>
            <w:r>
              <w:rPr>
                <w:rFonts w:eastAsia="Times New Roman"/>
                <w:b/>
                <w:sz w:val="21"/>
                <w:lang w:val="zh-CN"/>
              </w:rPr>
              <w:t xml:space="preserve">  </w:t>
            </w:r>
            <w:r>
              <w:rPr>
                <w:rFonts w:ascii="宋体" w:hAnsi="宋体" w:cs="宋体" w:hint="eastAsia"/>
                <w:b/>
                <w:sz w:val="21"/>
                <w:lang w:val="zh-CN"/>
              </w:rPr>
              <w:t>目</w:t>
            </w:r>
          </w:p>
        </w:tc>
        <w:tc>
          <w:tcPr>
            <w:tcW w:w="1843"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2021</w:t>
            </w:r>
            <w:r>
              <w:rPr>
                <w:rFonts w:ascii="宋体" w:hAnsi="宋体" w:cs="宋体" w:hint="eastAsia"/>
                <w:b/>
                <w:sz w:val="21"/>
                <w:lang w:val="zh-CN"/>
              </w:rPr>
              <w:t>年</w:t>
            </w:r>
            <w:r>
              <w:rPr>
                <w:rFonts w:eastAsia="Times New Roman"/>
                <w:b/>
                <w:sz w:val="21"/>
                <w:lang w:val="zh-CN"/>
              </w:rPr>
              <w:t>1-3</w:t>
            </w:r>
            <w:r>
              <w:rPr>
                <w:rFonts w:ascii="宋体" w:hAnsi="宋体" w:cs="宋体" w:hint="eastAsia"/>
                <w:b/>
                <w:sz w:val="21"/>
                <w:lang w:val="zh-CN"/>
              </w:rPr>
              <w:t>月</w:t>
            </w:r>
          </w:p>
        </w:tc>
        <w:tc>
          <w:tcPr>
            <w:tcW w:w="1701"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2020</w:t>
            </w:r>
            <w:r>
              <w:rPr>
                <w:rFonts w:ascii="宋体" w:hAnsi="宋体" w:cs="宋体" w:hint="eastAsia"/>
                <w:b/>
                <w:sz w:val="21"/>
                <w:lang w:val="zh-CN"/>
              </w:rPr>
              <w:t>年</w:t>
            </w:r>
            <w:r>
              <w:rPr>
                <w:rFonts w:eastAsia="Times New Roman"/>
                <w:b/>
                <w:sz w:val="21"/>
                <w:lang w:val="zh-CN"/>
              </w:rPr>
              <w:t>1-3</w:t>
            </w:r>
            <w:r>
              <w:rPr>
                <w:rFonts w:ascii="宋体" w:hAnsi="宋体" w:cs="宋体" w:hint="eastAsia"/>
                <w:b/>
                <w:sz w:val="21"/>
                <w:lang w:val="zh-CN"/>
              </w:rPr>
              <w:t>月</w:t>
            </w:r>
          </w:p>
        </w:tc>
        <w:tc>
          <w:tcPr>
            <w:tcW w:w="1275"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同比增减</w:t>
            </w:r>
          </w:p>
        </w:tc>
        <w:tc>
          <w:tcPr>
            <w:tcW w:w="3787"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变动原因</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营业收入</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2,441,436,242.73</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1,715,783,107.04</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42.29%</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主要原因是本期发动机销量增加所致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营业成本</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2,158,522,627.38</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1,419,679,900.51</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52.04%</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主要原因是本期发动机销量增加，结转的成本增加所致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销售费用</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33,788,361.34</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58,256,465.55</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-42.00%</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主要原因是本期运输费按照新收入准则调整至主营业务成本所致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研发费用</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68,875,233.88</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15,069,815.40</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357.04%</w:t>
            </w:r>
          </w:p>
        </w:tc>
        <w:tc>
          <w:tcPr>
            <w:tcW w:w="3787" w:type="dxa"/>
            <w:vAlign w:val="center"/>
          </w:tcPr>
          <w:p w:rsidR="001D5C6F" w:rsidRPr="00611DD8" w:rsidRDefault="001D5C6F" w:rsidP="001D5C6F">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主要原因是本期无形资产摊销增加所致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财务费用</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19,889,608.57</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34,895,146.86</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-43.00%</w:t>
            </w:r>
          </w:p>
        </w:tc>
        <w:tc>
          <w:tcPr>
            <w:tcW w:w="3787" w:type="dxa"/>
            <w:vAlign w:val="center"/>
          </w:tcPr>
          <w:p w:rsidR="001D5C6F" w:rsidRPr="00611DD8" w:rsidRDefault="001D5C6F" w:rsidP="00611DD8">
            <w:pPr>
              <w:autoSpaceDE w:val="0"/>
              <w:autoSpaceDN w:val="0"/>
              <w:adjustRightInd w:val="0"/>
              <w:spacing w:before="0" w:after="0"/>
              <w:rPr>
                <w:rFonts w:eastAsia="Times New Roman"/>
                <w:lang w:val="zh-CN"/>
              </w:rPr>
            </w:pPr>
            <w:r w:rsidRPr="00611DD8">
              <w:rPr>
                <w:rFonts w:ascii="宋体" w:hAnsi="宋体" w:cs="宋体" w:hint="eastAsia"/>
                <w:lang w:val="zh-CN"/>
              </w:rPr>
              <w:t>主要原因是本期利息</w:t>
            </w:r>
            <w:r w:rsidR="00611DD8" w:rsidRPr="00611DD8">
              <w:rPr>
                <w:rFonts w:ascii="宋体" w:hAnsi="宋体" w:cs="宋体" w:hint="eastAsia"/>
                <w:lang w:val="zh-CN"/>
              </w:rPr>
              <w:t>支出</w:t>
            </w:r>
            <w:r w:rsidRPr="00611DD8">
              <w:rPr>
                <w:rFonts w:ascii="宋体" w:hAnsi="宋体" w:cs="宋体" w:hint="eastAsia"/>
                <w:lang w:val="zh-CN"/>
              </w:rPr>
              <w:t>减少所致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其他收益</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49,801,183.04</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4,572,139.67</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989.23%</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主要原因是本期政府补助增加所致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投资收益</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5,085,802.66</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707,757.84</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618.58%</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主要原因是本期购买结构性存款取得的收益增加所致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资产减值损失</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30,725.00</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0.00</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主要原因是本期收回前期已经计提坏账的应收账款所致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资产处置收益</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363,002.78</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20,513.60</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1669.57%</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主要原因是本期资产处置增加所致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营业外收入</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450,142.99</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186,015.57</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141.99%</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主要原因是本期收到的非日常经营性款项增加</w:t>
            </w:r>
            <w:r>
              <w:rPr>
                <w:rFonts w:ascii="宋体" w:hAnsi="宋体" w:cs="宋体" w:hint="eastAsia"/>
                <w:lang w:val="zh-CN"/>
              </w:rPr>
              <w:lastRenderedPageBreak/>
              <w:t>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lastRenderedPageBreak/>
              <w:t>营业外支出</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231.43</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2,109.35</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-89.03%</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主要原因是本期支付的非日常经营性款项减少所致</w:t>
            </w:r>
          </w:p>
        </w:tc>
      </w:tr>
      <w:tr w:rsidR="001D5C6F" w:rsidTr="001D5C6F">
        <w:trPr>
          <w:jc w:val="center"/>
        </w:trPr>
        <w:tc>
          <w:tcPr>
            <w:tcW w:w="1700"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少数股东损益</w:t>
            </w:r>
          </w:p>
        </w:tc>
        <w:tc>
          <w:tcPr>
            <w:tcW w:w="1843"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217,189.49</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-15,174.27</w:t>
            </w:r>
          </w:p>
        </w:tc>
        <w:tc>
          <w:tcPr>
            <w:tcW w:w="1275"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1531.30%</w:t>
            </w:r>
          </w:p>
        </w:tc>
        <w:tc>
          <w:tcPr>
            <w:tcW w:w="378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主要原因是本期非全资子公司实现盈利所致</w:t>
            </w:r>
          </w:p>
        </w:tc>
      </w:tr>
    </w:tbl>
    <w:p w:rsidR="001D5C6F" w:rsidRDefault="001D5C6F" w:rsidP="001D5C6F">
      <w:pPr>
        <w:autoSpaceDE w:val="0"/>
        <w:autoSpaceDN w:val="0"/>
        <w:adjustRightInd w:val="0"/>
        <w:spacing w:before="240" w:after="0"/>
        <w:jc w:val="left"/>
        <w:rPr>
          <w:rFonts w:eastAsia="Times New Roman"/>
          <w:b/>
          <w:sz w:val="21"/>
          <w:lang w:val="zh-CN"/>
        </w:rPr>
      </w:pPr>
      <w:r>
        <w:rPr>
          <w:rFonts w:eastAsia="Times New Roman"/>
          <w:b/>
          <w:sz w:val="21"/>
          <w:lang w:val="zh-CN"/>
        </w:rPr>
        <w:t>3</w:t>
      </w:r>
      <w:r>
        <w:rPr>
          <w:rFonts w:ascii="宋体" w:hAnsi="宋体" w:cs="宋体" w:hint="eastAsia"/>
          <w:b/>
          <w:sz w:val="21"/>
          <w:lang w:val="zh-CN"/>
        </w:rPr>
        <w:t>、现金流量表项目</w:t>
      </w:r>
    </w:p>
    <w:p w:rsidR="001D5C6F" w:rsidRPr="001D5C6F" w:rsidRDefault="001D5C6F" w:rsidP="001D5C6F">
      <w:pPr>
        <w:autoSpaceDE w:val="0"/>
        <w:autoSpaceDN w:val="0"/>
        <w:adjustRightInd w:val="0"/>
        <w:spacing w:before="240" w:after="0"/>
        <w:jc w:val="right"/>
        <w:rPr>
          <w:rFonts w:eastAsia="Times New Roman"/>
          <w:sz w:val="21"/>
          <w:lang w:val="zh-CN"/>
        </w:rPr>
      </w:pPr>
      <w:r w:rsidRPr="001D5C6F">
        <w:rPr>
          <w:rFonts w:ascii="宋体" w:hAnsi="宋体" w:cs="宋体" w:hint="eastAsia"/>
          <w:sz w:val="21"/>
          <w:lang w:val="zh-CN"/>
        </w:rPr>
        <w:t>单位：元</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921"/>
        <w:gridCol w:w="1701"/>
        <w:gridCol w:w="1559"/>
        <w:gridCol w:w="1242"/>
        <w:gridCol w:w="3677"/>
      </w:tblGrid>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项</w:t>
            </w:r>
            <w:r>
              <w:rPr>
                <w:rFonts w:eastAsia="Times New Roman"/>
                <w:b/>
                <w:sz w:val="21"/>
                <w:lang w:val="zh-CN"/>
              </w:rPr>
              <w:t xml:space="preserve">  </w:t>
            </w:r>
            <w:r>
              <w:rPr>
                <w:rFonts w:ascii="宋体" w:hAnsi="宋体" w:cs="宋体" w:hint="eastAsia"/>
                <w:b/>
                <w:sz w:val="21"/>
                <w:lang w:val="zh-CN"/>
              </w:rPr>
              <w:t>目</w:t>
            </w:r>
          </w:p>
        </w:tc>
        <w:tc>
          <w:tcPr>
            <w:tcW w:w="1701"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2021</w:t>
            </w:r>
            <w:r>
              <w:rPr>
                <w:rFonts w:ascii="宋体" w:hAnsi="宋体" w:cs="宋体" w:hint="eastAsia"/>
                <w:b/>
                <w:sz w:val="21"/>
                <w:lang w:val="zh-CN"/>
              </w:rPr>
              <w:t>年</w:t>
            </w:r>
            <w:r>
              <w:rPr>
                <w:rFonts w:eastAsia="Times New Roman"/>
                <w:b/>
                <w:sz w:val="21"/>
                <w:lang w:val="zh-CN"/>
              </w:rPr>
              <w:t>1-3</w:t>
            </w:r>
            <w:r>
              <w:rPr>
                <w:rFonts w:ascii="宋体" w:hAnsi="宋体" w:cs="宋体" w:hint="eastAsia"/>
                <w:b/>
                <w:sz w:val="21"/>
                <w:lang w:val="zh-CN"/>
              </w:rPr>
              <w:t>月</w:t>
            </w:r>
          </w:p>
        </w:tc>
        <w:tc>
          <w:tcPr>
            <w:tcW w:w="1559"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eastAsia="Times New Roman"/>
                <w:b/>
                <w:sz w:val="21"/>
                <w:lang w:val="zh-CN"/>
              </w:rPr>
              <w:t>2020</w:t>
            </w:r>
            <w:r>
              <w:rPr>
                <w:rFonts w:ascii="宋体" w:hAnsi="宋体" w:cs="宋体" w:hint="eastAsia"/>
                <w:b/>
                <w:sz w:val="21"/>
                <w:lang w:val="zh-CN"/>
              </w:rPr>
              <w:t>年</w:t>
            </w:r>
            <w:r>
              <w:rPr>
                <w:rFonts w:eastAsia="Times New Roman"/>
                <w:b/>
                <w:sz w:val="21"/>
                <w:lang w:val="zh-CN"/>
              </w:rPr>
              <w:t>1-3</w:t>
            </w:r>
            <w:r>
              <w:rPr>
                <w:rFonts w:ascii="宋体" w:hAnsi="宋体" w:cs="宋体" w:hint="eastAsia"/>
                <w:b/>
                <w:sz w:val="21"/>
                <w:lang w:val="zh-CN"/>
              </w:rPr>
              <w:t>月</w:t>
            </w:r>
          </w:p>
        </w:tc>
        <w:tc>
          <w:tcPr>
            <w:tcW w:w="1242"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同比增减</w:t>
            </w:r>
          </w:p>
        </w:tc>
        <w:tc>
          <w:tcPr>
            <w:tcW w:w="3677" w:type="dxa"/>
            <w:shd w:val="clear" w:color="auto" w:fill="D3D3D3"/>
            <w:vAlign w:val="center"/>
          </w:tcPr>
          <w:p w:rsidR="001D5C6F" w:rsidRDefault="001D5C6F" w:rsidP="001D5C6F">
            <w:pPr>
              <w:autoSpaceDE w:val="0"/>
              <w:autoSpaceDN w:val="0"/>
              <w:adjustRightInd w:val="0"/>
              <w:spacing w:before="0" w:after="0"/>
              <w:jc w:val="center"/>
              <w:rPr>
                <w:rFonts w:eastAsia="Times New Roman"/>
                <w:b/>
                <w:sz w:val="21"/>
                <w:lang w:val="zh-CN"/>
              </w:rPr>
            </w:pPr>
            <w:r>
              <w:rPr>
                <w:rFonts w:ascii="宋体" w:hAnsi="宋体" w:cs="宋体" w:hint="eastAsia"/>
                <w:b/>
                <w:sz w:val="21"/>
                <w:lang w:val="zh-CN"/>
              </w:rPr>
              <w:t>变动原因</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收到的税费返还</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523,928.70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91,486.87</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472.68%</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主要原因是本期收到相关的税费返还款项增加所致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收到的其他与经营活动有关的现金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57,334,166.51</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21,090,973.05</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171.84%</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主要原因是本期收到的政府补助增加所致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购买商品、接受劳务支付的现金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2,243,310,715.14</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1,390,262,971.78</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61.36%</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主要原因是本期采购原辅材料现金结算增加所致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支付的各项税费</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38,258,462.65</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20,151,416.70</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89.85%</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主要原因是本期支付的增值税款增加所致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支付的其他与经营活动有关的现金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51,105,285.60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36,114,680.33</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41.51%</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主要原因是本期支付的日常经营款项增加所致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取得投资收益收到的现金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5,172,988.80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0.00</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主要原因是本期购买结构性存款取得的收益增加所致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处置固定资产、无形资产和其他长期资产所收回的现金净额</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1,271.00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0.00</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主要原因是本期资产处置增加所致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取得子公司及其他营业单位支付的现金净额</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0.00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6,193,602.26</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-100.00%</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主要原因是上期支付子公司收购款所致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取得借款所收到的现金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253,000,000.00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514,100,000.00</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-50.79%</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主要原因是本期银行借款减少所致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偿还债务所支付的现金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356,100,833.33</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161,100,000.00</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121.04%</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主要原因是本期归还银行借款所致</w:t>
            </w:r>
          </w:p>
        </w:tc>
      </w:tr>
      <w:tr w:rsidR="001D5C6F" w:rsidTr="001D5C6F">
        <w:trPr>
          <w:jc w:val="center"/>
        </w:trPr>
        <w:tc>
          <w:tcPr>
            <w:tcW w:w="2921" w:type="dxa"/>
            <w:shd w:val="clear" w:color="auto" w:fill="D3D3D3"/>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支付的其他与筹资活动有关的现金</w:t>
            </w:r>
          </w:p>
        </w:tc>
        <w:tc>
          <w:tcPr>
            <w:tcW w:w="1701"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12,616,754.50</w:t>
            </w:r>
          </w:p>
        </w:tc>
        <w:tc>
          <w:tcPr>
            <w:tcW w:w="1559"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6,456.39</w:t>
            </w:r>
          </w:p>
        </w:tc>
        <w:tc>
          <w:tcPr>
            <w:tcW w:w="1242" w:type="dxa"/>
            <w:vAlign w:val="center"/>
          </w:tcPr>
          <w:p w:rsidR="001D5C6F" w:rsidRDefault="001D5C6F" w:rsidP="001D5C6F">
            <w:pPr>
              <w:autoSpaceDE w:val="0"/>
              <w:autoSpaceDN w:val="0"/>
              <w:adjustRightInd w:val="0"/>
              <w:spacing w:before="0" w:after="0"/>
              <w:jc w:val="right"/>
              <w:rPr>
                <w:rFonts w:eastAsia="Times New Roman"/>
                <w:lang w:val="zh-CN"/>
              </w:rPr>
            </w:pPr>
            <w:r>
              <w:rPr>
                <w:rFonts w:eastAsia="Times New Roman"/>
                <w:lang w:val="zh-CN"/>
              </w:rPr>
              <w:t>195315.00%</w:t>
            </w:r>
          </w:p>
        </w:tc>
        <w:tc>
          <w:tcPr>
            <w:tcW w:w="3677" w:type="dxa"/>
            <w:vAlign w:val="center"/>
          </w:tcPr>
          <w:p w:rsidR="001D5C6F" w:rsidRDefault="001D5C6F" w:rsidP="001D5C6F">
            <w:pPr>
              <w:autoSpaceDE w:val="0"/>
              <w:autoSpaceDN w:val="0"/>
              <w:adjustRightInd w:val="0"/>
              <w:spacing w:before="0" w:after="0"/>
              <w:rPr>
                <w:rFonts w:eastAsia="Times New Roman"/>
                <w:lang w:val="zh-CN"/>
              </w:rPr>
            </w:pPr>
            <w:r>
              <w:rPr>
                <w:rFonts w:ascii="宋体" w:hAnsi="宋体" w:cs="宋体" w:hint="eastAsia"/>
                <w:lang w:val="zh-CN"/>
              </w:rPr>
              <w:t>主要原因是本期回购公司股份所致</w:t>
            </w:r>
          </w:p>
        </w:tc>
      </w:tr>
    </w:tbl>
    <w:p w:rsidR="001D5C6F" w:rsidRDefault="001D5C6F" w:rsidP="001D5C6F">
      <w:pPr>
        <w:pStyle w:val="Chapter"/>
        <w:outlineLvl w:val="1"/>
        <w:rPr>
          <w:bCs w:val="0"/>
        </w:rPr>
      </w:pPr>
      <w:r>
        <w:rPr>
          <w:bCs w:val="0"/>
        </w:rPr>
        <w:t>二、重要事项进展情况及其影响和解决方案的分析说明</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Pr="001D5C6F" w:rsidRDefault="001D5C6F" w:rsidP="00C66E56">
      <w:pPr>
        <w:autoSpaceDE w:val="0"/>
        <w:autoSpaceDN w:val="0"/>
        <w:adjustRightInd w:val="0"/>
        <w:snapToGrid w:val="0"/>
        <w:spacing w:beforeLines="50" w:after="0" w:line="360" w:lineRule="auto"/>
        <w:ind w:firstLine="414"/>
        <w:rPr>
          <w:rFonts w:asciiTheme="minorEastAsia" w:eastAsiaTheme="minorEastAsia" w:hAnsiTheme="minorEastAsia"/>
          <w:b/>
          <w:sz w:val="21"/>
          <w:szCs w:val="24"/>
          <w:lang w:val="zh-CN"/>
        </w:rPr>
      </w:pPr>
      <w:r w:rsidRPr="001D5C6F">
        <w:rPr>
          <w:rFonts w:asciiTheme="minorEastAsia" w:eastAsiaTheme="minorEastAsia" w:hAnsiTheme="minorEastAsia"/>
          <w:b/>
          <w:sz w:val="21"/>
          <w:szCs w:val="24"/>
          <w:lang w:val="zh-CN"/>
        </w:rPr>
        <w:t>1</w:t>
      </w:r>
      <w:r w:rsidRPr="001D5C6F">
        <w:rPr>
          <w:rFonts w:asciiTheme="minorEastAsia" w:eastAsiaTheme="minorEastAsia" w:hAnsiTheme="minorEastAsia" w:cs="宋体" w:hint="eastAsia"/>
          <w:b/>
          <w:sz w:val="21"/>
          <w:szCs w:val="24"/>
          <w:lang w:val="zh-CN"/>
        </w:rPr>
        <w:t>、控股股东云内集团混合所有制改革相关事项</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为深化国有企业改革，创新体制机制，体现中共昆明市委、昆明市人民政府做强做优云内集团的坚定决心，公司实际控制人昆明市国资委拟以云内集团增资扩股的方式引入民营资本，推进云内集团开展混合所有制改革相关工作。云内集团混改项目于</w:t>
      </w:r>
      <w:r w:rsidRPr="001D5C6F">
        <w:rPr>
          <w:rFonts w:asciiTheme="minorEastAsia" w:eastAsiaTheme="minorEastAsia" w:hAnsiTheme="minorEastAsia"/>
          <w:sz w:val="21"/>
          <w:szCs w:val="24"/>
          <w:lang w:val="zh-CN"/>
        </w:rPr>
        <w:t>2019</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12</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6</w:t>
      </w:r>
      <w:r w:rsidRPr="001D5C6F">
        <w:rPr>
          <w:rFonts w:asciiTheme="minorEastAsia" w:eastAsiaTheme="minorEastAsia" w:hAnsiTheme="minorEastAsia" w:cs="宋体" w:hint="eastAsia"/>
          <w:sz w:val="21"/>
          <w:szCs w:val="24"/>
          <w:lang w:val="zh-CN"/>
        </w:rPr>
        <w:t>日在北京产权交易所公开挂牌，因前期征集到的意向投资方未能按照昆明市国资委的要求按时签署《云内集团增资协议》，故本次混改项目于</w:t>
      </w:r>
      <w:r w:rsidRPr="001D5C6F">
        <w:rPr>
          <w:rFonts w:asciiTheme="minorEastAsia" w:eastAsiaTheme="minorEastAsia" w:hAnsiTheme="minorEastAsia"/>
          <w:sz w:val="21"/>
          <w:szCs w:val="24"/>
          <w:lang w:val="zh-CN"/>
        </w:rPr>
        <w:t>2020</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25</w:t>
      </w:r>
      <w:r w:rsidRPr="001D5C6F">
        <w:rPr>
          <w:rFonts w:asciiTheme="minorEastAsia" w:eastAsiaTheme="minorEastAsia" w:hAnsiTheme="minorEastAsia" w:cs="宋体" w:hint="eastAsia"/>
          <w:sz w:val="21"/>
          <w:szCs w:val="24"/>
          <w:lang w:val="zh-CN"/>
        </w:rPr>
        <w:t>日在北京产权交易所继续公开挂牌，挂牌时间自</w:t>
      </w:r>
      <w:r w:rsidRPr="001D5C6F">
        <w:rPr>
          <w:rFonts w:asciiTheme="minorEastAsia" w:eastAsiaTheme="minorEastAsia" w:hAnsiTheme="minorEastAsia"/>
          <w:sz w:val="21"/>
          <w:szCs w:val="24"/>
          <w:lang w:val="zh-CN"/>
        </w:rPr>
        <w:t>2020</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25</w:t>
      </w:r>
      <w:r w:rsidRPr="001D5C6F">
        <w:rPr>
          <w:rFonts w:asciiTheme="minorEastAsia" w:eastAsiaTheme="minorEastAsia" w:hAnsiTheme="minorEastAsia" w:cs="宋体" w:hint="eastAsia"/>
          <w:sz w:val="21"/>
          <w:szCs w:val="24"/>
          <w:lang w:val="zh-CN"/>
        </w:rPr>
        <w:t>日至</w:t>
      </w:r>
      <w:r w:rsidRPr="001D5C6F">
        <w:rPr>
          <w:rFonts w:asciiTheme="minorEastAsia" w:eastAsiaTheme="minorEastAsia" w:hAnsiTheme="minorEastAsia"/>
          <w:sz w:val="21"/>
          <w:szCs w:val="24"/>
          <w:lang w:val="zh-CN"/>
        </w:rPr>
        <w:t>2021</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20</w:t>
      </w:r>
      <w:r w:rsidRPr="001D5C6F">
        <w:rPr>
          <w:rFonts w:asciiTheme="minorEastAsia" w:eastAsiaTheme="minorEastAsia" w:hAnsiTheme="minorEastAsia" w:cs="宋体" w:hint="eastAsia"/>
          <w:sz w:val="21"/>
          <w:szCs w:val="24"/>
          <w:lang w:val="zh-CN"/>
        </w:rPr>
        <w:t>日。</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公司于</w:t>
      </w:r>
      <w:r w:rsidRPr="001D5C6F">
        <w:rPr>
          <w:rFonts w:asciiTheme="minorEastAsia" w:eastAsiaTheme="minorEastAsia" w:hAnsiTheme="minorEastAsia"/>
          <w:sz w:val="21"/>
          <w:szCs w:val="24"/>
          <w:lang w:val="zh-CN"/>
        </w:rPr>
        <w:t>2021</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20</w:t>
      </w:r>
      <w:r w:rsidRPr="001D5C6F">
        <w:rPr>
          <w:rFonts w:asciiTheme="minorEastAsia" w:eastAsiaTheme="minorEastAsia" w:hAnsiTheme="minorEastAsia" w:cs="宋体" w:hint="eastAsia"/>
          <w:sz w:val="21"/>
          <w:szCs w:val="24"/>
          <w:lang w:val="zh-CN"/>
        </w:rPr>
        <w:t>日收到控股股东云南云内动力集团有限公司通知，公司控股股东混合所有制改革项目已终止挂牌。本次混改相关内容详见公司在指定信息披露媒体《中国证券报》、《证券时报》及巨潮资讯网（</w:t>
      </w:r>
      <w:r w:rsidRPr="001D5C6F">
        <w:rPr>
          <w:rFonts w:asciiTheme="minorEastAsia" w:eastAsiaTheme="minorEastAsia" w:hAnsiTheme="minorEastAsia"/>
          <w:sz w:val="21"/>
          <w:szCs w:val="24"/>
          <w:lang w:val="zh-CN"/>
        </w:rPr>
        <w:t>http://www.cninfo.com.cn</w:t>
      </w:r>
      <w:r w:rsidRPr="001D5C6F">
        <w:rPr>
          <w:rFonts w:asciiTheme="minorEastAsia" w:eastAsiaTheme="minorEastAsia" w:hAnsiTheme="minorEastAsia" w:cs="宋体" w:hint="eastAsia"/>
          <w:sz w:val="21"/>
          <w:szCs w:val="24"/>
          <w:lang w:val="zh-CN"/>
        </w:rPr>
        <w:t>）上披露的相关公告。</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截至目前，公司控股股东混合所有制改革项目未有新的进展，后续是否继续推进由国资监管机构决定。公司将持续关注本次混合所有制改革的进展情况，并按照相关法律法规的规定及时履行信息披露义务。</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b/>
          <w:sz w:val="21"/>
          <w:szCs w:val="24"/>
          <w:lang w:val="zh-CN"/>
        </w:rPr>
      </w:pPr>
      <w:r w:rsidRPr="001D5C6F">
        <w:rPr>
          <w:rFonts w:asciiTheme="minorEastAsia" w:eastAsiaTheme="minorEastAsia" w:hAnsiTheme="minorEastAsia"/>
          <w:b/>
          <w:sz w:val="21"/>
          <w:szCs w:val="24"/>
          <w:lang w:val="zh-CN"/>
        </w:rPr>
        <w:lastRenderedPageBreak/>
        <w:t>2</w:t>
      </w:r>
      <w:r w:rsidRPr="001D5C6F">
        <w:rPr>
          <w:rFonts w:asciiTheme="minorEastAsia" w:eastAsiaTheme="minorEastAsia" w:hAnsiTheme="minorEastAsia" w:cs="宋体" w:hint="eastAsia"/>
          <w:b/>
          <w:sz w:val="21"/>
          <w:szCs w:val="24"/>
          <w:lang w:val="zh-CN"/>
        </w:rPr>
        <w:t>、关于收购蓝海华腾部分股权的相关事项</w:t>
      </w:r>
    </w:p>
    <w:p w:rsid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公司于</w:t>
      </w:r>
      <w:r w:rsidRPr="001D5C6F">
        <w:rPr>
          <w:rFonts w:asciiTheme="minorEastAsia" w:eastAsiaTheme="minorEastAsia" w:hAnsiTheme="minorEastAsia"/>
          <w:sz w:val="21"/>
          <w:szCs w:val="24"/>
          <w:lang w:val="zh-CN"/>
        </w:rPr>
        <w:t>2019</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10</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19</w:t>
      </w:r>
      <w:r w:rsidRPr="001D5C6F">
        <w:rPr>
          <w:rFonts w:asciiTheme="minorEastAsia" w:eastAsiaTheme="minorEastAsia" w:hAnsiTheme="minorEastAsia" w:cs="宋体" w:hint="eastAsia"/>
          <w:sz w:val="21"/>
          <w:szCs w:val="24"/>
          <w:lang w:val="zh-CN"/>
        </w:rPr>
        <w:t>日召开的六届董事会第十五次会议审议通过了《关于收购深圳市蓝海华腾技术股份有限公司</w:t>
      </w:r>
      <w:r w:rsidRPr="001D5C6F">
        <w:rPr>
          <w:rFonts w:asciiTheme="minorEastAsia" w:eastAsiaTheme="minorEastAsia" w:hAnsiTheme="minorEastAsia"/>
          <w:sz w:val="21"/>
          <w:szCs w:val="24"/>
          <w:lang w:val="zh-CN"/>
        </w:rPr>
        <w:t>18.15%</w:t>
      </w:r>
      <w:r w:rsidRPr="001D5C6F">
        <w:rPr>
          <w:rFonts w:asciiTheme="minorEastAsia" w:eastAsiaTheme="minorEastAsia" w:hAnsiTheme="minorEastAsia" w:cs="宋体" w:hint="eastAsia"/>
          <w:sz w:val="21"/>
          <w:szCs w:val="24"/>
          <w:lang w:val="zh-CN"/>
        </w:rPr>
        <w:t>股权的议案》，董事会同意公司通过协议转让方式以自筹资金收购邱文渊、徐学海等合计持有的蓝海华腾</w:t>
      </w:r>
      <w:r w:rsidRPr="001D5C6F">
        <w:rPr>
          <w:rFonts w:asciiTheme="minorEastAsia" w:eastAsiaTheme="minorEastAsia" w:hAnsiTheme="minorEastAsia"/>
          <w:sz w:val="21"/>
          <w:szCs w:val="24"/>
          <w:lang w:val="zh-CN"/>
        </w:rPr>
        <w:t>37,759,400</w:t>
      </w:r>
      <w:r w:rsidRPr="001D5C6F">
        <w:rPr>
          <w:rFonts w:asciiTheme="minorEastAsia" w:eastAsiaTheme="minorEastAsia" w:hAnsiTheme="minorEastAsia" w:cs="宋体" w:hint="eastAsia"/>
          <w:sz w:val="21"/>
          <w:szCs w:val="24"/>
          <w:lang w:val="zh-CN"/>
        </w:rPr>
        <w:t>股人民币普通股股份，占蓝海华腾总股本的</w:t>
      </w:r>
      <w:r w:rsidRPr="001D5C6F">
        <w:rPr>
          <w:rFonts w:asciiTheme="minorEastAsia" w:eastAsiaTheme="minorEastAsia" w:hAnsiTheme="minorEastAsia"/>
          <w:sz w:val="21"/>
          <w:szCs w:val="24"/>
          <w:lang w:val="zh-CN"/>
        </w:rPr>
        <w:t>18.15%</w:t>
      </w:r>
      <w:r w:rsidRPr="001D5C6F">
        <w:rPr>
          <w:rFonts w:asciiTheme="minorEastAsia" w:eastAsiaTheme="minorEastAsia" w:hAnsiTheme="minorEastAsia" w:cs="宋体" w:hint="eastAsia"/>
          <w:sz w:val="21"/>
          <w:szCs w:val="24"/>
          <w:lang w:val="zh-CN"/>
        </w:rPr>
        <w:t>，以北京亚超资产评估有限公司出具的北京亚超评报字（</w:t>
      </w:r>
      <w:r w:rsidRPr="001D5C6F">
        <w:rPr>
          <w:rFonts w:asciiTheme="minorEastAsia" w:eastAsiaTheme="minorEastAsia" w:hAnsiTheme="minorEastAsia"/>
          <w:sz w:val="21"/>
          <w:szCs w:val="24"/>
          <w:lang w:val="zh-CN"/>
        </w:rPr>
        <w:t>2019</w:t>
      </w:r>
      <w:r w:rsidRPr="001D5C6F">
        <w:rPr>
          <w:rFonts w:asciiTheme="minorEastAsia" w:eastAsiaTheme="minorEastAsia" w:hAnsiTheme="minorEastAsia" w:cs="宋体" w:hint="eastAsia"/>
          <w:sz w:val="21"/>
          <w:szCs w:val="24"/>
          <w:lang w:val="zh-CN"/>
        </w:rPr>
        <w:t>）第</w:t>
      </w:r>
      <w:r w:rsidRPr="001D5C6F">
        <w:rPr>
          <w:rFonts w:asciiTheme="minorEastAsia" w:eastAsiaTheme="minorEastAsia" w:hAnsiTheme="minorEastAsia"/>
          <w:sz w:val="21"/>
          <w:szCs w:val="24"/>
          <w:lang w:val="zh-CN"/>
        </w:rPr>
        <w:t>A199</w:t>
      </w:r>
      <w:r w:rsidRPr="001D5C6F">
        <w:rPr>
          <w:rFonts w:asciiTheme="minorEastAsia" w:eastAsiaTheme="minorEastAsia" w:hAnsiTheme="minorEastAsia" w:cs="宋体" w:hint="eastAsia"/>
          <w:sz w:val="21"/>
          <w:szCs w:val="24"/>
          <w:lang w:val="zh-CN"/>
        </w:rPr>
        <w:t>号《评估报告》为依据，经交易各方协商确定，标的股份转让价格合计人民币</w:t>
      </w:r>
      <w:r w:rsidRPr="001D5C6F">
        <w:rPr>
          <w:rFonts w:asciiTheme="minorEastAsia" w:eastAsiaTheme="minorEastAsia" w:hAnsiTheme="minorEastAsia"/>
          <w:sz w:val="21"/>
          <w:szCs w:val="24"/>
          <w:lang w:val="zh-CN"/>
        </w:rPr>
        <w:t>551,287,240</w:t>
      </w:r>
      <w:r w:rsidRPr="001D5C6F">
        <w:rPr>
          <w:rFonts w:asciiTheme="minorEastAsia" w:eastAsiaTheme="minorEastAsia" w:hAnsiTheme="minorEastAsia" w:cs="宋体" w:hint="eastAsia"/>
          <w:sz w:val="21"/>
          <w:szCs w:val="24"/>
          <w:lang w:val="zh-CN"/>
        </w:rPr>
        <w:t>元。本次收购事宜具体内容详见中国证券报、证券时报及巨潮资讯网（</w:t>
      </w:r>
      <w:r w:rsidRPr="001D5C6F">
        <w:rPr>
          <w:rFonts w:asciiTheme="minorEastAsia" w:eastAsiaTheme="minorEastAsia" w:hAnsiTheme="minorEastAsia"/>
          <w:sz w:val="21"/>
          <w:szCs w:val="24"/>
          <w:lang w:val="zh-CN"/>
        </w:rPr>
        <w:t>http://www.cninfo.com.cn</w:t>
      </w:r>
      <w:r w:rsidRPr="001D5C6F">
        <w:rPr>
          <w:rFonts w:asciiTheme="minorEastAsia" w:eastAsiaTheme="minorEastAsia" w:hAnsiTheme="minorEastAsia" w:cs="宋体" w:hint="eastAsia"/>
          <w:sz w:val="21"/>
          <w:szCs w:val="24"/>
          <w:lang w:val="zh-CN"/>
        </w:rPr>
        <w:t>）上披露的相关公告。</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截至目前，公司收购蓝海华腾股权事项仍处于国资监管机构审批阶段，未有新的进展，公司将持续关注本次收购事项的进展情况，并依照证券监管机构的有关规定及时履行信息披露义务。</w:t>
      </w:r>
    </w:p>
    <w:p w:rsidR="001D5C6F" w:rsidRDefault="001D5C6F" w:rsidP="001D5C6F">
      <w:pPr>
        <w:jc w:val="left"/>
        <w:rPr>
          <w:szCs w:val="24"/>
        </w:rPr>
      </w:pPr>
      <w:r>
        <w:rPr>
          <w:szCs w:val="24"/>
        </w:rPr>
        <w:t>股份回购的实施进展情况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Pr="001D5C6F" w:rsidRDefault="001D5C6F" w:rsidP="00C66E56">
      <w:pPr>
        <w:autoSpaceDE w:val="0"/>
        <w:autoSpaceDN w:val="0"/>
        <w:adjustRightInd w:val="0"/>
        <w:snapToGrid w:val="0"/>
        <w:spacing w:beforeLines="5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公司于</w:t>
      </w:r>
      <w:r w:rsidRPr="001D5C6F">
        <w:rPr>
          <w:rFonts w:asciiTheme="minorEastAsia" w:eastAsiaTheme="minorEastAsia" w:hAnsiTheme="minorEastAsia"/>
          <w:sz w:val="21"/>
          <w:szCs w:val="24"/>
          <w:lang w:val="zh-CN"/>
        </w:rPr>
        <w:t>2020</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26</w:t>
      </w:r>
      <w:r w:rsidRPr="001D5C6F">
        <w:rPr>
          <w:rFonts w:asciiTheme="minorEastAsia" w:eastAsiaTheme="minorEastAsia" w:hAnsiTheme="minorEastAsia" w:cs="宋体" w:hint="eastAsia"/>
          <w:sz w:val="21"/>
          <w:szCs w:val="24"/>
          <w:lang w:val="zh-CN"/>
        </w:rPr>
        <w:t>日召开的六届董事会第二十三次会议审议通过了《关于以集中竞价方式回购公司部分</w:t>
      </w:r>
      <w:r w:rsidRPr="001D5C6F">
        <w:rPr>
          <w:rFonts w:asciiTheme="minorEastAsia" w:eastAsiaTheme="minorEastAsia" w:hAnsiTheme="minorEastAsia"/>
          <w:sz w:val="21"/>
          <w:szCs w:val="24"/>
          <w:lang w:val="zh-CN"/>
        </w:rPr>
        <w:t>A</w:t>
      </w:r>
      <w:r w:rsidRPr="001D5C6F">
        <w:rPr>
          <w:rFonts w:asciiTheme="minorEastAsia" w:eastAsiaTheme="minorEastAsia" w:hAnsiTheme="minorEastAsia" w:cs="宋体" w:hint="eastAsia"/>
          <w:sz w:val="21"/>
          <w:szCs w:val="24"/>
          <w:lang w:val="zh-CN"/>
        </w:rPr>
        <w:t>股股份的方案》，并于</w:t>
      </w:r>
      <w:r w:rsidRPr="001D5C6F">
        <w:rPr>
          <w:rFonts w:asciiTheme="minorEastAsia" w:eastAsiaTheme="minorEastAsia" w:hAnsiTheme="minorEastAsia"/>
          <w:sz w:val="21"/>
          <w:szCs w:val="24"/>
          <w:lang w:val="zh-CN"/>
        </w:rPr>
        <w:t>2020</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11</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28</w:t>
      </w:r>
      <w:r w:rsidRPr="001D5C6F">
        <w:rPr>
          <w:rFonts w:asciiTheme="minorEastAsia" w:eastAsiaTheme="minorEastAsia" w:hAnsiTheme="minorEastAsia" w:cs="宋体" w:hint="eastAsia"/>
          <w:sz w:val="21"/>
          <w:szCs w:val="24"/>
          <w:lang w:val="zh-CN"/>
        </w:rPr>
        <w:t>日披露了《昆明云内动力股份有限公司关于以集中竞价方式回购公司部分</w:t>
      </w:r>
      <w:r w:rsidRPr="001D5C6F">
        <w:rPr>
          <w:rFonts w:asciiTheme="minorEastAsia" w:eastAsiaTheme="minorEastAsia" w:hAnsiTheme="minorEastAsia"/>
          <w:sz w:val="21"/>
          <w:szCs w:val="24"/>
          <w:lang w:val="zh-CN"/>
        </w:rPr>
        <w:t>A</w:t>
      </w:r>
      <w:r w:rsidRPr="001D5C6F">
        <w:rPr>
          <w:rFonts w:asciiTheme="minorEastAsia" w:eastAsiaTheme="minorEastAsia" w:hAnsiTheme="minorEastAsia" w:cs="宋体" w:hint="eastAsia"/>
          <w:sz w:val="21"/>
          <w:szCs w:val="24"/>
          <w:lang w:val="zh-CN"/>
        </w:rPr>
        <w:t>股股份的回购报告书》。回购相关事项及具体内容详见公司在指定信息披露媒体《中国证券报》、《证券时报》及巨潮资讯网（</w:t>
      </w:r>
      <w:r w:rsidRPr="001D5C6F">
        <w:rPr>
          <w:rFonts w:asciiTheme="minorEastAsia" w:eastAsiaTheme="minorEastAsia" w:hAnsiTheme="minorEastAsia"/>
          <w:sz w:val="21"/>
          <w:szCs w:val="24"/>
          <w:lang w:val="zh-CN"/>
        </w:rPr>
        <w:t>http://www.cninfo.com.cn</w:t>
      </w:r>
      <w:r w:rsidRPr="001D5C6F">
        <w:rPr>
          <w:rFonts w:asciiTheme="minorEastAsia" w:eastAsiaTheme="minorEastAsia" w:hAnsiTheme="minorEastAsia" w:cs="宋体" w:hint="eastAsia"/>
          <w:sz w:val="21"/>
          <w:szCs w:val="24"/>
          <w:lang w:val="zh-CN"/>
        </w:rPr>
        <w:t>）上披露的相关公告。</w:t>
      </w:r>
    </w:p>
    <w:p w:rsidR="001D5C6F" w:rsidRPr="001D5C6F" w:rsidRDefault="001D5C6F" w:rsidP="001D5C6F">
      <w:pPr>
        <w:autoSpaceDE w:val="0"/>
        <w:autoSpaceDN w:val="0"/>
        <w:adjustRightInd w:val="0"/>
        <w:snapToGrid w:val="0"/>
        <w:spacing w:before="0" w:after="0" w:line="360" w:lineRule="auto"/>
        <w:ind w:firstLine="420"/>
        <w:rPr>
          <w:rFonts w:asciiTheme="minorEastAsia" w:eastAsiaTheme="minorEastAsia" w:hAnsiTheme="minorEastAsia"/>
          <w:sz w:val="21"/>
          <w:szCs w:val="24"/>
          <w:lang w:val="zh-CN"/>
        </w:rPr>
      </w:pPr>
      <w:r w:rsidRPr="001D5C6F">
        <w:rPr>
          <w:rFonts w:asciiTheme="minorEastAsia" w:eastAsiaTheme="minorEastAsia" w:hAnsiTheme="minorEastAsia" w:cs="宋体" w:hint="eastAsia"/>
          <w:sz w:val="21"/>
          <w:szCs w:val="24"/>
          <w:lang w:val="zh-CN"/>
        </w:rPr>
        <w:t>截至</w:t>
      </w:r>
      <w:r w:rsidRPr="001D5C6F">
        <w:rPr>
          <w:rFonts w:asciiTheme="minorEastAsia" w:eastAsiaTheme="minorEastAsia" w:hAnsiTheme="minorEastAsia"/>
          <w:sz w:val="21"/>
          <w:szCs w:val="24"/>
          <w:lang w:val="zh-CN"/>
        </w:rPr>
        <w:t>2021</w:t>
      </w:r>
      <w:r w:rsidRPr="001D5C6F">
        <w:rPr>
          <w:rFonts w:asciiTheme="minorEastAsia" w:eastAsiaTheme="minorEastAsia" w:hAnsiTheme="minorEastAsia" w:cs="宋体" w:hint="eastAsia"/>
          <w:sz w:val="21"/>
          <w:szCs w:val="24"/>
          <w:lang w:val="zh-CN"/>
        </w:rPr>
        <w:t>年</w:t>
      </w:r>
      <w:r w:rsidRPr="001D5C6F">
        <w:rPr>
          <w:rFonts w:asciiTheme="minorEastAsia" w:eastAsiaTheme="minorEastAsia" w:hAnsiTheme="minorEastAsia"/>
          <w:sz w:val="21"/>
          <w:szCs w:val="24"/>
          <w:lang w:val="zh-CN"/>
        </w:rPr>
        <w:t>3</w:t>
      </w:r>
      <w:r w:rsidRPr="001D5C6F">
        <w:rPr>
          <w:rFonts w:asciiTheme="minorEastAsia" w:eastAsiaTheme="minorEastAsia" w:hAnsiTheme="minorEastAsia" w:cs="宋体" w:hint="eastAsia"/>
          <w:sz w:val="21"/>
          <w:szCs w:val="24"/>
          <w:lang w:val="zh-CN"/>
        </w:rPr>
        <w:t>月</w:t>
      </w:r>
      <w:r w:rsidRPr="001D5C6F">
        <w:rPr>
          <w:rFonts w:asciiTheme="minorEastAsia" w:eastAsiaTheme="minorEastAsia" w:hAnsiTheme="minorEastAsia"/>
          <w:sz w:val="21"/>
          <w:szCs w:val="24"/>
          <w:lang w:val="zh-CN"/>
        </w:rPr>
        <w:t>31</w:t>
      </w:r>
      <w:r w:rsidRPr="001D5C6F">
        <w:rPr>
          <w:rFonts w:asciiTheme="minorEastAsia" w:eastAsiaTheme="minorEastAsia" w:hAnsiTheme="minorEastAsia" w:cs="宋体" w:hint="eastAsia"/>
          <w:sz w:val="21"/>
          <w:szCs w:val="24"/>
          <w:lang w:val="zh-CN"/>
        </w:rPr>
        <w:t>日，公司已累计通过回购专用证券账户以集中竞价交易方式回购股份数量</w:t>
      </w:r>
      <w:r w:rsidRPr="001D5C6F">
        <w:rPr>
          <w:rFonts w:asciiTheme="minorEastAsia" w:eastAsiaTheme="minorEastAsia" w:hAnsiTheme="minorEastAsia"/>
          <w:sz w:val="21"/>
          <w:szCs w:val="24"/>
          <w:lang w:val="zh-CN"/>
        </w:rPr>
        <w:t>11,812,500</w:t>
      </w:r>
      <w:r w:rsidRPr="001D5C6F">
        <w:rPr>
          <w:rFonts w:asciiTheme="minorEastAsia" w:eastAsiaTheme="minorEastAsia" w:hAnsiTheme="minorEastAsia" w:cs="宋体" w:hint="eastAsia"/>
          <w:sz w:val="21"/>
          <w:szCs w:val="24"/>
          <w:lang w:val="zh-CN"/>
        </w:rPr>
        <w:t>股，占公司总股本的</w:t>
      </w:r>
      <w:r w:rsidRPr="001D5C6F">
        <w:rPr>
          <w:rFonts w:asciiTheme="minorEastAsia" w:eastAsiaTheme="minorEastAsia" w:hAnsiTheme="minorEastAsia"/>
          <w:sz w:val="21"/>
          <w:szCs w:val="24"/>
          <w:lang w:val="zh-CN"/>
        </w:rPr>
        <w:t>0.5994%</w:t>
      </w:r>
      <w:r w:rsidRPr="001D5C6F">
        <w:rPr>
          <w:rFonts w:asciiTheme="minorEastAsia" w:eastAsiaTheme="minorEastAsia" w:hAnsiTheme="minorEastAsia" w:cs="宋体" w:hint="eastAsia"/>
          <w:sz w:val="21"/>
          <w:szCs w:val="24"/>
          <w:lang w:val="zh-CN"/>
        </w:rPr>
        <w:t>，最高成交价为</w:t>
      </w:r>
      <w:r w:rsidRPr="001D5C6F">
        <w:rPr>
          <w:rFonts w:asciiTheme="minorEastAsia" w:eastAsiaTheme="minorEastAsia" w:hAnsiTheme="minorEastAsia"/>
          <w:sz w:val="21"/>
          <w:szCs w:val="24"/>
          <w:lang w:val="zh-CN"/>
        </w:rPr>
        <w:t>4.66</w:t>
      </w:r>
      <w:r w:rsidRPr="001D5C6F">
        <w:rPr>
          <w:rFonts w:asciiTheme="minorEastAsia" w:eastAsiaTheme="minorEastAsia" w:hAnsiTheme="minorEastAsia" w:cs="宋体" w:hint="eastAsia"/>
          <w:sz w:val="21"/>
          <w:szCs w:val="24"/>
          <w:lang w:val="zh-CN"/>
        </w:rPr>
        <w:t>元</w:t>
      </w:r>
      <w:r w:rsidRPr="001D5C6F">
        <w:rPr>
          <w:rFonts w:asciiTheme="minorEastAsia" w:eastAsiaTheme="minorEastAsia" w:hAnsiTheme="minorEastAsia"/>
          <w:sz w:val="21"/>
          <w:szCs w:val="24"/>
          <w:lang w:val="zh-CN"/>
        </w:rPr>
        <w:t>/</w:t>
      </w:r>
      <w:r w:rsidRPr="001D5C6F">
        <w:rPr>
          <w:rFonts w:asciiTheme="minorEastAsia" w:eastAsiaTheme="minorEastAsia" w:hAnsiTheme="minorEastAsia" w:cs="宋体" w:hint="eastAsia"/>
          <w:sz w:val="21"/>
          <w:szCs w:val="24"/>
          <w:lang w:val="zh-CN"/>
        </w:rPr>
        <w:t>股，最低成交价为</w:t>
      </w:r>
      <w:r w:rsidRPr="001D5C6F">
        <w:rPr>
          <w:rFonts w:asciiTheme="minorEastAsia" w:eastAsiaTheme="minorEastAsia" w:hAnsiTheme="minorEastAsia"/>
          <w:sz w:val="21"/>
          <w:szCs w:val="24"/>
          <w:lang w:val="zh-CN"/>
        </w:rPr>
        <w:t>3.12</w:t>
      </w:r>
      <w:r w:rsidRPr="001D5C6F">
        <w:rPr>
          <w:rFonts w:asciiTheme="minorEastAsia" w:eastAsiaTheme="minorEastAsia" w:hAnsiTheme="minorEastAsia" w:cs="宋体" w:hint="eastAsia"/>
          <w:sz w:val="21"/>
          <w:szCs w:val="24"/>
          <w:lang w:val="zh-CN"/>
        </w:rPr>
        <w:t>元</w:t>
      </w:r>
      <w:r w:rsidRPr="001D5C6F">
        <w:rPr>
          <w:rFonts w:asciiTheme="minorEastAsia" w:eastAsiaTheme="minorEastAsia" w:hAnsiTheme="minorEastAsia"/>
          <w:sz w:val="21"/>
          <w:szCs w:val="24"/>
          <w:lang w:val="zh-CN"/>
        </w:rPr>
        <w:t>/</w:t>
      </w:r>
      <w:r w:rsidRPr="001D5C6F">
        <w:rPr>
          <w:rFonts w:asciiTheme="minorEastAsia" w:eastAsiaTheme="minorEastAsia" w:hAnsiTheme="minorEastAsia" w:cs="宋体" w:hint="eastAsia"/>
          <w:sz w:val="21"/>
          <w:szCs w:val="24"/>
          <w:lang w:val="zh-CN"/>
        </w:rPr>
        <w:t>股，成交总额</w:t>
      </w:r>
      <w:r w:rsidRPr="001D5C6F">
        <w:rPr>
          <w:rFonts w:asciiTheme="minorEastAsia" w:eastAsiaTheme="minorEastAsia" w:hAnsiTheme="minorEastAsia"/>
          <w:sz w:val="21"/>
          <w:szCs w:val="24"/>
          <w:lang w:val="zh-CN"/>
        </w:rPr>
        <w:t>50,755,599.00</w:t>
      </w:r>
      <w:r w:rsidRPr="001D5C6F">
        <w:rPr>
          <w:rFonts w:asciiTheme="minorEastAsia" w:eastAsiaTheme="minorEastAsia" w:hAnsiTheme="minorEastAsia" w:cs="宋体" w:hint="eastAsia"/>
          <w:sz w:val="21"/>
          <w:szCs w:val="24"/>
          <w:lang w:val="zh-CN"/>
        </w:rPr>
        <w:t>元（不含交易费用）。</w:t>
      </w:r>
    </w:p>
    <w:p w:rsidR="001D5C6F" w:rsidRDefault="001D5C6F" w:rsidP="001D5C6F">
      <w:pPr>
        <w:autoSpaceDE w:val="0"/>
        <w:autoSpaceDN w:val="0"/>
        <w:adjustRightInd w:val="0"/>
        <w:snapToGrid w:val="0"/>
        <w:spacing w:before="0" w:after="0" w:line="360" w:lineRule="auto"/>
        <w:ind w:firstLineChars="200" w:firstLine="420"/>
        <w:rPr>
          <w:rFonts w:eastAsia="Times New Roman"/>
          <w:sz w:val="21"/>
          <w:szCs w:val="24"/>
          <w:lang w:val="zh-CN"/>
        </w:rPr>
      </w:pPr>
      <w:r w:rsidRPr="001D5C6F">
        <w:rPr>
          <w:rFonts w:asciiTheme="minorEastAsia" w:eastAsiaTheme="minorEastAsia" w:hAnsiTheme="minorEastAsia" w:cs="宋体" w:hint="eastAsia"/>
          <w:sz w:val="21"/>
          <w:szCs w:val="24"/>
          <w:lang w:val="zh-CN"/>
        </w:rPr>
        <w:t>公司后续将根据市场情况继续实施本次回购计划，并按照有关规定履行信息披露义务，敬请广大投资者关注并注意投资风险。</w:t>
      </w:r>
    </w:p>
    <w:p w:rsidR="001D5C6F" w:rsidRDefault="001D5C6F" w:rsidP="001D5C6F">
      <w:pPr>
        <w:jc w:val="left"/>
        <w:rPr>
          <w:szCs w:val="24"/>
        </w:rPr>
      </w:pPr>
      <w:r>
        <w:rPr>
          <w:szCs w:val="24"/>
        </w:rPr>
        <w:t>采用集中竞价方式减持回购股份的实施进展情况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pStyle w:val="Chapter"/>
        <w:outlineLvl w:val="1"/>
        <w:rPr>
          <w:bCs w:val="0"/>
        </w:rPr>
      </w:pPr>
      <w:r>
        <w:rPr>
          <w:bCs w:val="0"/>
        </w:rPr>
        <w:t>三、公司实际控制人、股东、关联方、收购人以及公司等承诺相关方在报告期内超期未履行完毕的承诺事项</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公司报告期不存在公司实际控制人、股东、关联方、收购人以及公司等承诺相关方在报告期内超期未履行完毕的承诺事项。</w:t>
      </w:r>
    </w:p>
    <w:p w:rsidR="001D5C6F" w:rsidRDefault="001D5C6F" w:rsidP="001D5C6F">
      <w:pPr>
        <w:pStyle w:val="Chapter"/>
        <w:outlineLvl w:val="1"/>
        <w:rPr>
          <w:bCs w:val="0"/>
        </w:rPr>
      </w:pPr>
      <w:r>
        <w:rPr>
          <w:bCs w:val="0"/>
        </w:rPr>
        <w:t>四、金融资产投资</w:t>
      </w:r>
    </w:p>
    <w:p w:rsidR="001D5C6F" w:rsidRDefault="001D5C6F" w:rsidP="001D5C6F">
      <w:pPr>
        <w:pStyle w:val="Section"/>
        <w:outlineLvl w:val="2"/>
        <w:rPr>
          <w:bCs w:val="0"/>
          <w:szCs w:val="24"/>
        </w:rPr>
      </w:pPr>
      <w:r>
        <w:rPr>
          <w:bCs w:val="0"/>
          <w:szCs w:val="24"/>
        </w:rPr>
        <w:t>1</w:t>
      </w:r>
      <w:r>
        <w:rPr>
          <w:bCs w:val="0"/>
          <w:szCs w:val="24"/>
        </w:rPr>
        <w:t>、证券投资情况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公司报告期不存在证券投资。</w:t>
      </w:r>
    </w:p>
    <w:p w:rsidR="001D5C6F" w:rsidRDefault="001D5C6F" w:rsidP="001D5C6F">
      <w:pPr>
        <w:pStyle w:val="Section"/>
        <w:outlineLvl w:val="2"/>
        <w:rPr>
          <w:bCs w:val="0"/>
          <w:szCs w:val="24"/>
        </w:rPr>
      </w:pPr>
      <w:r>
        <w:rPr>
          <w:bCs w:val="0"/>
          <w:szCs w:val="24"/>
        </w:rPr>
        <w:lastRenderedPageBreak/>
        <w:t>2</w:t>
      </w:r>
      <w:r>
        <w:rPr>
          <w:bCs w:val="0"/>
          <w:szCs w:val="24"/>
        </w:rPr>
        <w:t>、衍生品投资情况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公司报告期不存在衍生品投资。</w:t>
      </w:r>
    </w:p>
    <w:p w:rsidR="001D5C6F" w:rsidRDefault="001D5C6F" w:rsidP="001D5C6F">
      <w:pPr>
        <w:pStyle w:val="Chapter"/>
        <w:outlineLvl w:val="1"/>
        <w:rPr>
          <w:bCs w:val="0"/>
        </w:rPr>
      </w:pPr>
      <w:r>
        <w:rPr>
          <w:bCs w:val="0"/>
        </w:rPr>
        <w:t>五、募集资金投资项目进展情况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pStyle w:val="Chapter"/>
        <w:outlineLvl w:val="1"/>
        <w:rPr>
          <w:bCs w:val="0"/>
        </w:rPr>
      </w:pPr>
      <w:r>
        <w:rPr>
          <w:bCs w:val="0"/>
        </w:rPr>
        <w:t>六、对</w:t>
      </w:r>
      <w:r>
        <w:rPr>
          <w:bCs w:val="0"/>
        </w:rPr>
        <w:t>2021</w:t>
      </w:r>
      <w:r>
        <w:rPr>
          <w:bCs w:val="0"/>
        </w:rPr>
        <w:t>年</w:t>
      </w:r>
      <w:r>
        <w:rPr>
          <w:bCs w:val="0"/>
        </w:rPr>
        <w:t>1-6</w:t>
      </w:r>
      <w:r>
        <w:rPr>
          <w:bCs w:val="0"/>
        </w:rPr>
        <w:t>月经营业绩的预计</w:t>
      </w:r>
    </w:p>
    <w:p w:rsidR="001D5C6F" w:rsidRDefault="001D5C6F" w:rsidP="001D5C6F">
      <w:pPr>
        <w:jc w:val="left"/>
        <w:rPr>
          <w:szCs w:val="24"/>
        </w:rPr>
      </w:pPr>
      <w:r>
        <w:rPr>
          <w:szCs w:val="24"/>
        </w:rPr>
        <w:t>预测年初至下一报告期期末的累计净利润可能为亏损或者与上年同期相比发生大幅度变动的警示及原因说明</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pStyle w:val="Chapter"/>
        <w:outlineLvl w:val="1"/>
        <w:rPr>
          <w:bCs w:val="0"/>
        </w:rPr>
      </w:pPr>
      <w:r>
        <w:rPr>
          <w:bCs w:val="0"/>
        </w:rPr>
        <w:t>七、日常经营重大合同</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pStyle w:val="Chapter"/>
        <w:outlineLvl w:val="1"/>
        <w:rPr>
          <w:bCs w:val="0"/>
        </w:rPr>
      </w:pPr>
      <w:r>
        <w:rPr>
          <w:bCs w:val="0"/>
        </w:rPr>
        <w:t>八、委托理财</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公司报告期不存在委托理财。</w:t>
      </w:r>
    </w:p>
    <w:p w:rsidR="001D5C6F" w:rsidRDefault="001D5C6F" w:rsidP="001D5C6F">
      <w:pPr>
        <w:pStyle w:val="Chapter"/>
        <w:outlineLvl w:val="1"/>
        <w:rPr>
          <w:bCs w:val="0"/>
        </w:rPr>
      </w:pPr>
      <w:r>
        <w:rPr>
          <w:bCs w:val="0"/>
        </w:rPr>
        <w:t>九、违规对外担保情况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公司报告期无违规对外担保情况。</w:t>
      </w:r>
    </w:p>
    <w:p w:rsidR="001D5C6F" w:rsidRDefault="001D5C6F" w:rsidP="001D5C6F">
      <w:pPr>
        <w:pStyle w:val="Chapter"/>
        <w:outlineLvl w:val="1"/>
        <w:rPr>
          <w:bCs w:val="0"/>
        </w:rPr>
      </w:pPr>
      <w:r>
        <w:rPr>
          <w:bCs w:val="0"/>
        </w:rPr>
        <w:t>十、控股股东及其关联方对上市公司的非经营性占用资金情况</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jc w:val="left"/>
        <w:rPr>
          <w:szCs w:val="24"/>
        </w:rPr>
      </w:pPr>
      <w:r>
        <w:rPr>
          <w:szCs w:val="24"/>
        </w:rPr>
        <w:t>公司报告期不存在控股股东及其关联方对上市公司的非经营性占用资金。</w:t>
      </w:r>
    </w:p>
    <w:p w:rsidR="001D5C6F" w:rsidRDefault="001D5C6F" w:rsidP="001D5C6F">
      <w:pPr>
        <w:pStyle w:val="Chapter"/>
        <w:outlineLvl w:val="1"/>
        <w:rPr>
          <w:bCs w:val="0"/>
        </w:rPr>
      </w:pPr>
      <w:r>
        <w:rPr>
          <w:bCs w:val="0"/>
        </w:rPr>
        <w:t>十一、报告期内接待调研、沟通、采访等活动登记表</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tbl>
      <w:tblPr>
        <w:tblW w:w="10065" w:type="dxa"/>
        <w:tblInd w:w="28" w:type="dxa"/>
        <w:tblLayout w:type="fixed"/>
        <w:tblCellMar>
          <w:left w:w="28" w:type="dxa"/>
          <w:right w:w="28" w:type="dxa"/>
        </w:tblCellMar>
        <w:tblLook w:val="0000"/>
      </w:tblPr>
      <w:tblGrid>
        <w:gridCol w:w="1560"/>
        <w:gridCol w:w="1134"/>
        <w:gridCol w:w="1189"/>
        <w:gridCol w:w="1295"/>
        <w:gridCol w:w="1295"/>
        <w:gridCol w:w="1324"/>
        <w:gridCol w:w="2268"/>
      </w:tblGrid>
      <w:tr w:rsidR="001D5C6F" w:rsidTr="007869B7">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接待时间</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接待地点</w:t>
            </w:r>
          </w:p>
        </w:tc>
        <w:tc>
          <w:tcPr>
            <w:tcW w:w="1189"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接待方式</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接待对象类型</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接待对象</w:t>
            </w:r>
          </w:p>
        </w:tc>
        <w:tc>
          <w:tcPr>
            <w:tcW w:w="1324"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谈论的主要内容及提供的资料</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调研的基本情况索引</w:t>
            </w:r>
          </w:p>
        </w:tc>
      </w:tr>
      <w:tr w:rsidR="001D5C6F" w:rsidTr="007869B7">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2021</w:t>
            </w:r>
            <w:r>
              <w:rPr>
                <w:szCs w:val="24"/>
              </w:rPr>
              <w:t>年</w:t>
            </w:r>
            <w:r>
              <w:rPr>
                <w:szCs w:val="24"/>
              </w:rPr>
              <w:t>02</w:t>
            </w:r>
            <w:r>
              <w:rPr>
                <w:szCs w:val="24"/>
              </w:rPr>
              <w:t>月</w:t>
            </w:r>
            <w:r>
              <w:rPr>
                <w:szCs w:val="24"/>
              </w:rPr>
              <w:t>22</w:t>
            </w:r>
            <w:r>
              <w:rPr>
                <w:szCs w:val="24"/>
              </w:rPr>
              <w:t>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公司六楼会议室</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实地调研</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机构</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中国国际金融股份有限公司</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公司生产经营情况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left"/>
              <w:rPr>
                <w:szCs w:val="24"/>
              </w:rPr>
            </w:pPr>
            <w:r>
              <w:rPr>
                <w:szCs w:val="24"/>
              </w:rPr>
              <w:t>巨潮资讯网上《</w:t>
            </w:r>
            <w:r>
              <w:rPr>
                <w:szCs w:val="24"/>
              </w:rPr>
              <w:t>2021</w:t>
            </w:r>
            <w:r>
              <w:rPr>
                <w:szCs w:val="24"/>
              </w:rPr>
              <w:t>年</w:t>
            </w:r>
            <w:r>
              <w:rPr>
                <w:szCs w:val="24"/>
              </w:rPr>
              <w:t>2</w:t>
            </w:r>
            <w:r>
              <w:rPr>
                <w:szCs w:val="24"/>
              </w:rPr>
              <w:t>月</w:t>
            </w:r>
            <w:r>
              <w:rPr>
                <w:szCs w:val="24"/>
              </w:rPr>
              <w:t>22</w:t>
            </w:r>
            <w:r>
              <w:rPr>
                <w:szCs w:val="24"/>
              </w:rPr>
              <w:t>日投资者关系活动记录表》（编号：</w:t>
            </w:r>
            <w:r>
              <w:rPr>
                <w:szCs w:val="24"/>
              </w:rPr>
              <w:t>2021-01</w:t>
            </w:r>
            <w:r>
              <w:rPr>
                <w:szCs w:val="24"/>
              </w:rPr>
              <w:t>）</w:t>
            </w:r>
          </w:p>
        </w:tc>
      </w:tr>
    </w:tbl>
    <w:p w:rsidR="001D5C6F" w:rsidRDefault="001D5C6F" w:rsidP="001D5C6F">
      <w:pPr>
        <w:rPr>
          <w:szCs w:val="24"/>
        </w:rPr>
        <w:sectPr w:rsidR="001D5C6F">
          <w:pgSz w:w="11906" w:h="16838"/>
          <w:pgMar w:top="1440" w:right="1134" w:bottom="1440" w:left="1134" w:header="851" w:footer="992" w:gutter="0"/>
          <w:cols w:space="425"/>
          <w:docGrid w:type="lines" w:linePitch="312"/>
        </w:sectPr>
      </w:pPr>
    </w:p>
    <w:p w:rsidR="001D5C6F" w:rsidRDefault="001D5C6F" w:rsidP="001D5C6F">
      <w:pPr>
        <w:pStyle w:val="a3"/>
        <w:outlineLvl w:val="0"/>
        <w:rPr>
          <w:bCs w:val="0"/>
          <w:szCs w:val="24"/>
        </w:rPr>
      </w:pPr>
      <w:bookmarkStart w:id="3" w:name="_Toc300000087"/>
      <w:r>
        <w:rPr>
          <w:bCs w:val="0"/>
          <w:szCs w:val="24"/>
        </w:rPr>
        <w:lastRenderedPageBreak/>
        <w:t>第四节</w:t>
      </w:r>
      <w:r>
        <w:rPr>
          <w:bCs w:val="0"/>
          <w:szCs w:val="24"/>
        </w:rPr>
        <w:t xml:space="preserve"> </w:t>
      </w:r>
      <w:r>
        <w:rPr>
          <w:bCs w:val="0"/>
          <w:szCs w:val="24"/>
        </w:rPr>
        <w:t>财务报表</w:t>
      </w:r>
      <w:bookmarkEnd w:id="3"/>
    </w:p>
    <w:p w:rsidR="001D5C6F" w:rsidRDefault="001D5C6F" w:rsidP="001D5C6F">
      <w:pPr>
        <w:pStyle w:val="Chapter"/>
        <w:outlineLvl w:val="1"/>
        <w:rPr>
          <w:bCs w:val="0"/>
        </w:rPr>
      </w:pPr>
      <w:r>
        <w:rPr>
          <w:bCs w:val="0"/>
        </w:rPr>
        <w:t>一、财务报表</w:t>
      </w:r>
    </w:p>
    <w:p w:rsidR="001D5C6F" w:rsidRDefault="001D5C6F" w:rsidP="001D5C6F">
      <w:pPr>
        <w:pStyle w:val="Section"/>
        <w:outlineLvl w:val="2"/>
        <w:rPr>
          <w:bCs w:val="0"/>
          <w:szCs w:val="24"/>
        </w:rPr>
      </w:pPr>
      <w:r>
        <w:rPr>
          <w:bCs w:val="0"/>
          <w:szCs w:val="24"/>
        </w:rPr>
        <w:t>1</w:t>
      </w:r>
      <w:r>
        <w:rPr>
          <w:bCs w:val="0"/>
          <w:szCs w:val="24"/>
        </w:rPr>
        <w:t>、合并资产负债表</w:t>
      </w:r>
    </w:p>
    <w:p w:rsidR="001D5C6F" w:rsidRDefault="001D5C6F" w:rsidP="001D5C6F">
      <w:pPr>
        <w:jc w:val="left"/>
        <w:rPr>
          <w:szCs w:val="24"/>
        </w:rPr>
      </w:pPr>
      <w:r>
        <w:rPr>
          <w:szCs w:val="24"/>
        </w:rPr>
        <w:t>编制单位：昆明云内动力股份有限公司</w:t>
      </w:r>
    </w:p>
    <w:p w:rsidR="001D5C6F" w:rsidRDefault="001D5C6F" w:rsidP="001D5C6F">
      <w:pPr>
        <w:jc w:val="center"/>
        <w:rPr>
          <w:szCs w:val="24"/>
        </w:rPr>
      </w:pPr>
      <w:r>
        <w:rPr>
          <w:szCs w:val="24"/>
        </w:rPr>
        <w:t>2021</w:t>
      </w:r>
      <w:r>
        <w:rPr>
          <w:szCs w:val="24"/>
        </w:rPr>
        <w:t>年</w:t>
      </w:r>
      <w:r>
        <w:rPr>
          <w:szCs w:val="24"/>
        </w:rPr>
        <w:t>03</w:t>
      </w:r>
      <w:r>
        <w:rPr>
          <w:szCs w:val="24"/>
        </w:rPr>
        <w:t>月</w:t>
      </w:r>
      <w:r>
        <w:rPr>
          <w:szCs w:val="24"/>
        </w:rPr>
        <w:t>31</w:t>
      </w:r>
      <w:r>
        <w:rPr>
          <w:szCs w:val="24"/>
        </w:rPr>
        <w:t>日</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2021</w:t>
            </w:r>
            <w:r>
              <w:rPr>
                <w:szCs w:val="24"/>
              </w:rPr>
              <w:t>年</w:t>
            </w:r>
            <w:r>
              <w:rPr>
                <w:szCs w:val="24"/>
              </w:rPr>
              <w:t>3</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1,607,836,515.58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2,272,586,628.50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1,123,751,461.85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1,084,477,392.42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1,366,724,113.42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1,131,958,781.64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2,646,814,188.80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1,369,924,251.22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383,547,570.80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1,149,009,633.26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45,176,685.09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39,243,160.16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11,144,189.11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8,678,993.26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2,054,313,446.30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1,641,397,582.83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61,284,127.65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35,977,874.87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9,300,592,298.60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8,733,254,298.16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312,500,000.00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312,500,000.00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27,792,938.12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27,976,279.58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3,185,759,910.60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3,217,716,606.63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433,921,021.50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304,376,081.37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1,062,710,384.08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1,109,029,410.94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550,059,922.88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502,749,655.23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555,403,857.70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555,403,857.70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1,973,854.15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2,093,693.72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69,260,274.97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71,504,447.28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71,660,904.53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81,917,729.43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6,271,043,068.53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6,185,267,761.88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15,571,635,367.13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14,918,522,060.04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53,066,111.11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200,298,117.75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17,555,094.75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4,380,773,709.43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3,679,687,169.71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3,358,823,102.38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3,617,105,350.98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50,108,703.80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49,523,317.50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10,953,488.43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15,131,346.43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34,253,053.83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46,075,687.25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551,350,211.83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340,650,940.10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4,000,000.00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7,799,400.83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7,600,853.48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00AFB" w:rsidP="001D5C6F">
            <w:pPr>
              <w:jc w:val="right"/>
              <w:rPr>
                <w:szCs w:val="24"/>
              </w:rPr>
            </w:pPr>
            <w:r w:rsidRPr="00000AFB">
              <w:rPr>
                <w:szCs w:val="24"/>
              </w:rPr>
              <w:t>8,447,127,781.64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7,977,627,877.95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00AFB" w:rsidP="001D5C6F">
            <w:pPr>
              <w:jc w:val="right"/>
              <w:rPr>
                <w:szCs w:val="24"/>
              </w:rPr>
            </w:pPr>
            <w:r w:rsidRPr="00000AFB">
              <w:rPr>
                <w:szCs w:val="24"/>
              </w:rPr>
              <w:t>1,050,000,000.00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990,000,000.00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4,295,628.98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4,295,628.98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204,767,402.77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207,898,053.85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12,825,516.72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12,560,736.49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00AFB" w:rsidP="001D5C6F">
            <w:pPr>
              <w:jc w:val="right"/>
              <w:rPr>
                <w:szCs w:val="24"/>
              </w:rPr>
            </w:pPr>
            <w:r w:rsidRPr="00000AFB">
              <w:rPr>
                <w:szCs w:val="24"/>
              </w:rPr>
              <w:t>1,271,888,548.47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1,214,754,419.32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9,719,016,330.11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9,192,382,297.27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1,970,800,857.00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1,970,800,857.00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2,342,621,950.27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2,342,621,950.27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150,799,077.35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138,182,322.85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14,417,476.35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13,730,778.35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373,151,527.64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373,151,527.64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1,284,762,125.61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1,146,569,984.35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5,834,954,859.52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5,708,692,774.76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17,664,177.50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17,446,988.01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5,852,619,037.02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5,726,139,762.77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15,571,635,367.13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14,918,522,060.04</w:t>
            </w:r>
          </w:p>
        </w:tc>
      </w:tr>
    </w:tbl>
    <w:p w:rsidR="001D5C6F" w:rsidRDefault="001D5C6F" w:rsidP="001D5C6F">
      <w:pPr>
        <w:spacing w:before="300"/>
        <w:rPr>
          <w:szCs w:val="24"/>
        </w:rPr>
      </w:pPr>
      <w:r>
        <w:rPr>
          <w:szCs w:val="24"/>
        </w:rPr>
        <w:t>法定代表人：杨波</w:t>
      </w:r>
      <w:r>
        <w:rPr>
          <w:szCs w:val="24"/>
        </w:rPr>
        <w:t xml:space="preserve">                     </w:t>
      </w:r>
      <w:r>
        <w:rPr>
          <w:szCs w:val="24"/>
        </w:rPr>
        <w:t>主管会计工作负责人：屠建国</w:t>
      </w:r>
      <w:r>
        <w:rPr>
          <w:szCs w:val="24"/>
        </w:rPr>
        <w:t xml:space="preserve">                     </w:t>
      </w:r>
      <w:r>
        <w:rPr>
          <w:szCs w:val="24"/>
        </w:rPr>
        <w:t>会计机构负责人：朱国友</w:t>
      </w:r>
    </w:p>
    <w:p w:rsidR="001D5C6F" w:rsidRDefault="001D5C6F" w:rsidP="001D5C6F">
      <w:pPr>
        <w:pStyle w:val="Section"/>
        <w:outlineLvl w:val="2"/>
        <w:rPr>
          <w:bCs w:val="0"/>
          <w:szCs w:val="24"/>
        </w:rPr>
      </w:pPr>
      <w:r>
        <w:rPr>
          <w:bCs w:val="0"/>
          <w:szCs w:val="24"/>
        </w:rPr>
        <w:t>2</w:t>
      </w:r>
      <w:r>
        <w:rPr>
          <w:bCs w:val="0"/>
          <w:szCs w:val="24"/>
        </w:rPr>
        <w:t>、母公司资产负债表</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2021</w:t>
            </w:r>
            <w:r>
              <w:rPr>
                <w:szCs w:val="24"/>
              </w:rPr>
              <w:t>年</w:t>
            </w:r>
            <w:r>
              <w:rPr>
                <w:szCs w:val="24"/>
              </w:rPr>
              <w:t>3</w:t>
            </w:r>
            <w:r>
              <w:rPr>
                <w:szCs w:val="24"/>
              </w:rPr>
              <w:t>月</w:t>
            </w:r>
            <w:r>
              <w:rPr>
                <w:szCs w:val="24"/>
              </w:rPr>
              <w:t>31</w:t>
            </w:r>
            <w:r>
              <w:rPr>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2020</w:t>
            </w:r>
            <w:r>
              <w:rPr>
                <w:szCs w:val="24"/>
              </w:rPr>
              <w:t>年</w:t>
            </w:r>
            <w:r>
              <w:rPr>
                <w:szCs w:val="24"/>
              </w:rPr>
              <w:t>12</w:t>
            </w:r>
            <w:r>
              <w:rPr>
                <w:szCs w:val="24"/>
              </w:rPr>
              <w:t>月</w:t>
            </w:r>
            <w:r>
              <w:rPr>
                <w:szCs w:val="24"/>
              </w:rPr>
              <w:t>31</w:t>
            </w:r>
            <w:r>
              <w:rPr>
                <w:szCs w:val="24"/>
              </w:rPr>
              <w:t>日</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1,297,569,300.94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2,088,471,633.19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1,069,744,527.72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1,013,470,458.29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875,176,374.83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1,400,472,179.82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2,718,366,100.45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1,290,863,857.47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361,981,202.09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1,115,923,264.93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29,958,967.12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30,866,587.09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12,639,427.54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5,582,247.64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1,655,305,820.49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1,333,287,315.11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26,348,603.77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2,670,127.07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8,047,090,324.95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8,281,607,670.61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1,406,410,720.40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1,401,590,600.00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312,500,000.00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312,500,000.00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2,453,046,106.33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2,477,578,252.92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417,078,568.60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290,630,055.44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909,259,074.14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949,978,454.27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516,260,888.99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473,187,093.64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23,377,389.22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26,431,195.10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79,256,464.30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6,107,932,747.68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6,011,152,115.67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14,155,023,072.63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14,292,759,786.28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50,066,111.11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200,298,117.75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17,555,094.75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4,567,964,129.76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4,556,620,295.83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1,912,024,294.03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2,244,560,496.79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39,037,086.40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36,572,344.91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1,548,002.58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846,886.19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30,037,408.55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38,962,023.64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383,328,674.64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221,191,772.46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4,000,000.00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6,242,043.45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5,917,227.05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6778C" w:rsidP="001D5C6F">
            <w:pPr>
              <w:jc w:val="right"/>
              <w:rPr>
                <w:szCs w:val="24"/>
              </w:rPr>
            </w:pPr>
            <w:r w:rsidRPr="0006778C">
              <w:rPr>
                <w:szCs w:val="24"/>
              </w:rPr>
              <w:t>6,990,247,750.52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7,326,524,259.37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6778C" w:rsidP="001D5C6F">
            <w:pPr>
              <w:jc w:val="right"/>
              <w:rPr>
                <w:szCs w:val="24"/>
              </w:rPr>
            </w:pPr>
            <w:r w:rsidRPr="0006778C">
              <w:rPr>
                <w:szCs w:val="24"/>
              </w:rPr>
              <w:t>1,050,000,000.00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990,000,000.00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102,791,645.78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105,305,213.60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06778C" w:rsidP="001D5C6F">
            <w:pPr>
              <w:jc w:val="right"/>
              <w:rPr>
                <w:szCs w:val="24"/>
              </w:rPr>
            </w:pPr>
            <w:r w:rsidRPr="0006778C">
              <w:rPr>
                <w:szCs w:val="24"/>
              </w:rPr>
              <w:t>1,152,791,645.78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1,095,305,213.60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8,143,039,396.30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8,421,829,472.97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1,970,800,857.00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1,970,800,857.00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2,369,986,804.52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2,369,986,804.52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150,799,077.35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138,182,322.85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14,417,476.35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13,730,778.35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373,151,527.64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373,151,527.64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1,434,426,088.17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1,281,442,668.65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6,011,983,676.33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5,870,930,313.31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14,155,023,072.63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14,292,759,786.28</w:t>
            </w:r>
          </w:p>
        </w:tc>
      </w:tr>
    </w:tbl>
    <w:p w:rsidR="001D5C6F" w:rsidRDefault="001D5C6F" w:rsidP="001D5C6F">
      <w:pPr>
        <w:pStyle w:val="Section"/>
        <w:outlineLvl w:val="2"/>
        <w:rPr>
          <w:bCs w:val="0"/>
          <w:szCs w:val="24"/>
        </w:rPr>
      </w:pPr>
      <w:r>
        <w:rPr>
          <w:bCs w:val="0"/>
          <w:szCs w:val="24"/>
        </w:rPr>
        <w:t>3</w:t>
      </w:r>
      <w:r>
        <w:rPr>
          <w:bCs w:val="0"/>
          <w:szCs w:val="24"/>
        </w:rPr>
        <w:t>、合并利润表</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3080"/>
        <w:gridCol w:w="3210"/>
        <w:gridCol w:w="3277"/>
      </w:tblGrid>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上期发生额</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2,441,436,242.73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1,715,783,107.04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2,441,436,242.73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1,715,783,107.04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2,345,818,190.91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1,600,177,902.05</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2,158,522,627.38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1,419,679,900.51</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提取保险责任合同准备金净额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4,182,717.46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3,460,085.46</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33,788,361.34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58,256,465.55</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60,559,642.28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68,816,488.27</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68,875,233.88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15,069,815.40</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19,889,608.57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34,895,146.86</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10,215,528.78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13,980,127.26</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9,674,558.76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5,222,414.01</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49,801,183.04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4,572,139.67</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5,085,802.66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707,757.84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6,274,069.43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7,382,622.22</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信用减值损失（损失以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资产减值损失（损失以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30,725.00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资产处置收益（损失以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363,002.78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20,513.60</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157,172,834.73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128,288,238.32</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450,142.99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186,015.57</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231.43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2,109.35</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157,622,746.29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128,472,144.54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19,213,415.54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20,868,227.60</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138,409,330.75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107,603,916.94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1.</w:t>
            </w:r>
            <w:r>
              <w:rPr>
                <w:szCs w:val="24"/>
              </w:rPr>
              <w:t>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138,409,330.75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107,603,916.94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1.</w:t>
            </w:r>
            <w:r>
              <w:rPr>
                <w:szCs w:val="24"/>
              </w:rPr>
              <w:t>归属于母公司股东的净利润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138,192,141.26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107,619,091.21</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217,189.49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-15,174.27</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1.</w:t>
            </w:r>
            <w:r>
              <w:rPr>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3.</w:t>
            </w:r>
            <w:r>
              <w:rPr>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4.</w:t>
            </w:r>
            <w:r>
              <w:rPr>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5.</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1.</w:t>
            </w:r>
            <w:r>
              <w:rPr>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3.</w:t>
            </w:r>
            <w:r>
              <w:rPr>
                <w:szCs w:val="24"/>
              </w:rPr>
              <w:t>金融资产重分类计入其他</w:t>
            </w:r>
            <w:r>
              <w:rPr>
                <w:szCs w:val="24"/>
              </w:rPr>
              <w:lastRenderedPageBreak/>
              <w:t>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w:t>
            </w:r>
            <w:r>
              <w:rPr>
                <w:szCs w:val="24"/>
              </w:rPr>
              <w:t>4.</w:t>
            </w:r>
            <w:r>
              <w:rPr>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5.</w:t>
            </w:r>
            <w:r>
              <w:rPr>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6.</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7.</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138,409,330.75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107,603,916.94</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138,192,141.26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107,619,091.21</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217,189.49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-15,174.27</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0.072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0.056</w:t>
            </w:r>
          </w:p>
        </w:tc>
      </w:tr>
      <w:tr w:rsidR="001D5C6F" w:rsidTr="001D5C6F">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0.072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0.056</w:t>
            </w:r>
          </w:p>
        </w:tc>
      </w:tr>
    </w:tbl>
    <w:p w:rsidR="001D5C6F" w:rsidRDefault="001D5C6F" w:rsidP="001D5C6F">
      <w:pPr>
        <w:jc w:val="left"/>
        <w:rPr>
          <w:szCs w:val="24"/>
        </w:rPr>
      </w:pPr>
      <w:r>
        <w:rPr>
          <w:szCs w:val="24"/>
        </w:rPr>
        <w:t>本期发生同一控制下企业合并的，被合并方在合并前实现的净利润为：</w:t>
      </w:r>
      <w:r>
        <w:rPr>
          <w:szCs w:val="24"/>
        </w:rPr>
        <w:t>0.00</w:t>
      </w:r>
      <w:r>
        <w:rPr>
          <w:szCs w:val="24"/>
        </w:rPr>
        <w:t>元，上期被合并方实现的净利润为：</w:t>
      </w:r>
      <w:r>
        <w:rPr>
          <w:szCs w:val="24"/>
        </w:rPr>
        <w:t>0.00</w:t>
      </w:r>
      <w:r>
        <w:rPr>
          <w:szCs w:val="24"/>
        </w:rPr>
        <w:t>元。</w:t>
      </w:r>
    </w:p>
    <w:p w:rsidR="001D5C6F" w:rsidRDefault="001D5C6F" w:rsidP="001D5C6F">
      <w:pPr>
        <w:spacing w:before="300"/>
        <w:rPr>
          <w:szCs w:val="24"/>
        </w:rPr>
      </w:pPr>
      <w:r>
        <w:rPr>
          <w:szCs w:val="24"/>
        </w:rPr>
        <w:t>法定代表人：杨波</w:t>
      </w:r>
      <w:r>
        <w:rPr>
          <w:szCs w:val="24"/>
        </w:rPr>
        <w:t xml:space="preserve">                     </w:t>
      </w:r>
      <w:r>
        <w:rPr>
          <w:szCs w:val="24"/>
        </w:rPr>
        <w:t>主管会计工作负责人：屠建国</w:t>
      </w:r>
      <w:r>
        <w:rPr>
          <w:szCs w:val="24"/>
        </w:rPr>
        <w:t xml:space="preserve">                     </w:t>
      </w:r>
      <w:r>
        <w:rPr>
          <w:szCs w:val="24"/>
        </w:rPr>
        <w:t>会计机构负责人：朱国友</w:t>
      </w:r>
    </w:p>
    <w:p w:rsidR="001D5C6F" w:rsidRDefault="001D5C6F" w:rsidP="001D5C6F">
      <w:pPr>
        <w:pStyle w:val="Section"/>
        <w:outlineLvl w:val="2"/>
        <w:rPr>
          <w:bCs w:val="0"/>
          <w:szCs w:val="24"/>
        </w:rPr>
      </w:pPr>
      <w:r>
        <w:rPr>
          <w:bCs w:val="0"/>
          <w:szCs w:val="24"/>
        </w:rPr>
        <w:t>4</w:t>
      </w:r>
      <w:r>
        <w:rPr>
          <w:bCs w:val="0"/>
          <w:szCs w:val="24"/>
        </w:rPr>
        <w:t>、母公司利润表</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2967"/>
        <w:gridCol w:w="3300"/>
        <w:gridCol w:w="3301"/>
      </w:tblGrid>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上期发生额</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2,403,303,592.01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1,618,418,768.42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2,166,707,291.37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1,359,371,340.33</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1,727,852.17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1,400,520.80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28,563,745.15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44,786,767.95</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33,272,829.68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45,000,547.07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58,601,225.64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10,042,232.04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21,584,401.83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36,438,594.28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9,987,102.78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13,935,041.88</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9,180,805.22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4,453,199.32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47,696,426.05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4,068,701.41</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25,028,750.00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30,707,757.84</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以摊余成本计量的金融资产终止确认收益（损失以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净敞口套期收益（损失以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公允价值变动收益（损失以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6,274,069.43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7,382,622.22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信用减值损失（损失以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资产减值损失（损失以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资产处置收益（损失以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317,018.12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二、营业利润（亏损以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172,162,509.77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163,537,847.42</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8,810.00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93,000.00</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2,102.96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172,171,288.60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163,628,744.46</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19,187,869.08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18,733,453.89</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四、净利润（净亏损以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152,983,419.52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144,895,290.57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152,983,419.52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144,895,290.57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（二）终止经营净利润（净亏损以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1.</w:t>
            </w:r>
            <w:r>
              <w:rPr>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3.</w:t>
            </w:r>
            <w:r>
              <w:rPr>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4.</w:t>
            </w:r>
            <w:r>
              <w:rPr>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5.</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w:t>
            </w:r>
            <w:r>
              <w:rPr>
                <w:szCs w:val="24"/>
              </w:rPr>
              <w:t>1.</w:t>
            </w:r>
            <w:r>
              <w:rPr>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2.</w:t>
            </w:r>
            <w:r>
              <w:rPr>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3.</w:t>
            </w:r>
            <w:r>
              <w:rPr>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4.</w:t>
            </w:r>
            <w:r>
              <w:rPr>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5.</w:t>
            </w:r>
            <w:r>
              <w:rPr>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6.</w:t>
            </w:r>
            <w:r>
              <w:rPr>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w:t>
            </w:r>
            <w:r>
              <w:rPr>
                <w:szCs w:val="24"/>
              </w:rPr>
              <w:t>7.</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152,983,419.52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144,895,290.57</w:t>
            </w: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bl>
    <w:p w:rsidR="001D5C6F" w:rsidRDefault="001D5C6F" w:rsidP="001D5C6F">
      <w:pPr>
        <w:pStyle w:val="Section"/>
        <w:outlineLvl w:val="2"/>
        <w:rPr>
          <w:bCs w:val="0"/>
          <w:szCs w:val="24"/>
        </w:rPr>
      </w:pPr>
      <w:r>
        <w:rPr>
          <w:bCs w:val="0"/>
          <w:szCs w:val="24"/>
        </w:rPr>
        <w:t>5</w:t>
      </w:r>
      <w:r>
        <w:rPr>
          <w:bCs w:val="0"/>
          <w:szCs w:val="24"/>
        </w:rPr>
        <w:t>、合并现金流量表</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上期发生额</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1,997,288,507.19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1,737,260,171.05</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523,928.70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91,486.87</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57,334,166.51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21,090,973.05</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2,055,146,602.40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1,758,442,630.97</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2,243,310,715.14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1,390,262,971.78</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154,116,827.47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124,253,242.41</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38,258,462.65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20,151,416.70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51,105,285.60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36,114,680.33</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2,486,791,290.86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1,570,782,311.22</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-431,644,688.46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187,660,319.75</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516,000,000.00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605,000,000.00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5,172,988.80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1,271.00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521,174,259.80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605,000,000.00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36,768,994.54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43,461,623.37</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570,000,000.00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725,000,000.00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6,193,602.26</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606,768,994.54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774,655,225.63</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-85,594,734.74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-169,655,225.63</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其中：子公司吸收少数股东投资</w:t>
            </w:r>
            <w:r>
              <w:rPr>
                <w:szCs w:val="24"/>
              </w:rPr>
              <w:lastRenderedPageBreak/>
              <w:t>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253,000,000.00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514,100,000.00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253,000,000.00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514,100,000.00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356,100,833.33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161,100,000.00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29,174,634.65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33,654,799.77</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12,616,754.50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6,456.39</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397,892,222.48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194,761,256.16</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-144,892,222.48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319,338,743.84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-195.08</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-662,131,645.68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337,343,642.88</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1,902,607,953.78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650,822,070.90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1,240,476,308.10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988,165,713.78</w:t>
            </w:r>
          </w:p>
        </w:tc>
      </w:tr>
    </w:tbl>
    <w:p w:rsidR="001D5C6F" w:rsidRDefault="001D5C6F" w:rsidP="001D5C6F">
      <w:pPr>
        <w:pStyle w:val="Section"/>
        <w:outlineLvl w:val="2"/>
        <w:rPr>
          <w:bCs w:val="0"/>
          <w:szCs w:val="24"/>
        </w:rPr>
      </w:pPr>
      <w:r>
        <w:rPr>
          <w:bCs w:val="0"/>
          <w:szCs w:val="24"/>
        </w:rPr>
        <w:t>6</w:t>
      </w:r>
      <w:r>
        <w:rPr>
          <w:bCs w:val="0"/>
          <w:szCs w:val="24"/>
        </w:rPr>
        <w:t>、母公司现金流量表</w:t>
      </w:r>
    </w:p>
    <w:p w:rsidR="001D5C6F" w:rsidRDefault="001D5C6F" w:rsidP="001D5C6F">
      <w:pPr>
        <w:jc w:val="right"/>
        <w:rPr>
          <w:szCs w:val="24"/>
        </w:rPr>
      </w:pPr>
      <w:r>
        <w:rPr>
          <w:szCs w:val="24"/>
        </w:rPr>
        <w:t>单位：元</w:t>
      </w:r>
    </w:p>
    <w:tbl>
      <w:tblPr>
        <w:tblW w:w="0" w:type="auto"/>
        <w:tblInd w:w="28" w:type="dxa"/>
        <w:tblLayout w:type="fixed"/>
        <w:tblCellMar>
          <w:left w:w="28" w:type="dxa"/>
          <w:right w:w="28" w:type="dxa"/>
        </w:tblCellMar>
        <w:tblLook w:val="0000"/>
      </w:tblPr>
      <w:tblGrid>
        <w:gridCol w:w="2966"/>
        <w:gridCol w:w="3301"/>
        <w:gridCol w:w="3301"/>
      </w:tblGrid>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center"/>
              <w:rPr>
                <w:szCs w:val="24"/>
              </w:rPr>
            </w:pPr>
            <w:r>
              <w:rPr>
                <w:szCs w:val="24"/>
              </w:rPr>
              <w:t>上期发生额</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1,713,842,026.59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1,659,675,803.59</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52,108,415.61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19,197,153.15</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1,765,950,442.20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1,678,872,956.74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2,152,022,845.80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1,362,023,029.05</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99,149,215.50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81,855,769.77</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27,531,679.82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11,219,933.52</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36,784,139.89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29,100,638.50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2,315,487,881.01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1,484,199,370.84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-549,537,438.81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194,673,585.90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460,000,000.00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566,000,000.00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lastRenderedPageBreak/>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6,341,516.92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1,271.00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466,342,787.92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566,400,000.00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34,684,102.70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41,048,637.94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710,000,000.00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544,684,102.70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751,048,637.94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-78,341,314.78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-184,648,637.94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250,000,000.00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512,100,000.00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250,000,000.00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512,100,000.00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356,100,000.00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161,100,000.00</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29,754,634.65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33,648,153.94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12,616,754.50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398,471,389.15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194,748,153.94</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-148,471,389.15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317,351,846.06</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-776,350,142.74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327,376,794.02</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1,769,952,777.03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554,400,575.08</w:t>
            </w:r>
          </w:p>
        </w:tc>
      </w:tr>
      <w:tr w:rsidR="001D5C6F" w:rsidTr="001D5C6F">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1D5C6F" w:rsidRDefault="001D5C6F" w:rsidP="001D5C6F">
            <w:pPr>
              <w:jc w:val="left"/>
              <w:rPr>
                <w:szCs w:val="24"/>
              </w:rPr>
            </w:pPr>
            <w:r>
              <w:rPr>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993,602,634.29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1D5C6F" w:rsidRDefault="001D5C6F" w:rsidP="001D5C6F">
            <w:pPr>
              <w:jc w:val="right"/>
              <w:rPr>
                <w:szCs w:val="24"/>
              </w:rPr>
            </w:pPr>
            <w:r>
              <w:rPr>
                <w:szCs w:val="24"/>
              </w:rPr>
              <w:t>881,777,369.10</w:t>
            </w:r>
          </w:p>
        </w:tc>
      </w:tr>
    </w:tbl>
    <w:p w:rsidR="001D5C6F" w:rsidRDefault="001D5C6F" w:rsidP="001D5C6F">
      <w:pPr>
        <w:pStyle w:val="Chapter"/>
        <w:outlineLvl w:val="1"/>
        <w:rPr>
          <w:bCs w:val="0"/>
        </w:rPr>
      </w:pPr>
      <w:r>
        <w:rPr>
          <w:bCs w:val="0"/>
        </w:rPr>
        <w:t>二、财务报表调整情况说明</w:t>
      </w:r>
    </w:p>
    <w:p w:rsidR="001D5C6F" w:rsidRDefault="001D5C6F" w:rsidP="001D5C6F">
      <w:pPr>
        <w:pStyle w:val="Section"/>
        <w:outlineLvl w:val="2"/>
        <w:rPr>
          <w:bCs w:val="0"/>
          <w:szCs w:val="24"/>
        </w:rPr>
      </w:pPr>
      <w:r>
        <w:rPr>
          <w:bCs w:val="0"/>
          <w:szCs w:val="24"/>
        </w:rPr>
        <w:t>1</w:t>
      </w:r>
      <w:r>
        <w:rPr>
          <w:bCs w:val="0"/>
          <w:szCs w:val="24"/>
        </w:rPr>
        <w:t>、</w:t>
      </w:r>
      <w:r>
        <w:rPr>
          <w:bCs w:val="0"/>
          <w:szCs w:val="24"/>
        </w:rPr>
        <w:t>2021</w:t>
      </w:r>
      <w:r>
        <w:rPr>
          <w:bCs w:val="0"/>
          <w:szCs w:val="24"/>
        </w:rPr>
        <w:t>年起首次执行新租赁准则调整首次执行当年年初财务报表相关情况</w:t>
      </w:r>
    </w:p>
    <w:p w:rsidR="00C66E56" w:rsidRDefault="00C66E56" w:rsidP="00C66E56">
      <w:pPr>
        <w:jc w:val="left"/>
      </w:pPr>
      <w:r>
        <w:t xml:space="preserve">√ </w:t>
      </w:r>
      <w:r>
        <w:t>适用</w:t>
      </w:r>
      <w:r>
        <w:t xml:space="preserve"> □ </w:t>
      </w:r>
      <w:r>
        <w:t>不适用</w:t>
      </w:r>
      <w:r>
        <w:t xml:space="preserve"> </w:t>
      </w:r>
    </w:p>
    <w:p w:rsidR="00C66E56" w:rsidRDefault="00C66E56" w:rsidP="00C66E56">
      <w:pPr>
        <w:jc w:val="left"/>
      </w:pPr>
      <w:r>
        <w:lastRenderedPageBreak/>
        <w:t>是否需要调整年初资产负债表科目</w:t>
      </w:r>
    </w:p>
    <w:p w:rsidR="00C66E56" w:rsidRDefault="00C66E56" w:rsidP="00C66E56">
      <w:pPr>
        <w:jc w:val="left"/>
      </w:pPr>
      <w:r>
        <w:t xml:space="preserve">□ </w:t>
      </w:r>
      <w:r>
        <w:t>是</w:t>
      </w:r>
      <w:r>
        <w:t xml:space="preserve"> √ </w:t>
      </w:r>
      <w:r>
        <w:t>否</w:t>
      </w:r>
      <w:r>
        <w:t xml:space="preserve"> </w:t>
      </w:r>
    </w:p>
    <w:p w:rsidR="00C66E56" w:rsidRPr="00C66E56" w:rsidRDefault="00C66E56" w:rsidP="00C66E56">
      <w:pPr>
        <w:jc w:val="left"/>
      </w:pPr>
      <w:r>
        <w:t>不需要调整年初资产负债表科目的原因说明</w:t>
      </w:r>
      <w:r>
        <w:rPr>
          <w:rFonts w:hint="eastAsia"/>
        </w:rPr>
        <w:t>：</w:t>
      </w:r>
      <w:r>
        <w:rPr>
          <w:rFonts w:ascii="宋体" w:hAnsi="宋体" w:cs="宋体" w:hint="eastAsia"/>
          <w:lang w:val="zh-CN"/>
        </w:rPr>
        <w:t>无</w:t>
      </w:r>
    </w:p>
    <w:p w:rsidR="001D5C6F" w:rsidRDefault="001D5C6F" w:rsidP="001D5C6F">
      <w:pPr>
        <w:pStyle w:val="Section"/>
        <w:outlineLvl w:val="2"/>
        <w:rPr>
          <w:bCs w:val="0"/>
          <w:szCs w:val="24"/>
        </w:rPr>
      </w:pPr>
      <w:r>
        <w:rPr>
          <w:bCs w:val="0"/>
          <w:szCs w:val="24"/>
        </w:rPr>
        <w:t>2</w:t>
      </w:r>
      <w:r>
        <w:rPr>
          <w:bCs w:val="0"/>
          <w:szCs w:val="24"/>
        </w:rPr>
        <w:t>、</w:t>
      </w:r>
      <w:r>
        <w:rPr>
          <w:bCs w:val="0"/>
          <w:szCs w:val="24"/>
        </w:rPr>
        <w:t>2021</w:t>
      </w:r>
      <w:r>
        <w:rPr>
          <w:bCs w:val="0"/>
          <w:szCs w:val="24"/>
        </w:rPr>
        <w:t>年起首次新租赁准则追溯调整前期比较数据的说明</w:t>
      </w:r>
    </w:p>
    <w:p w:rsidR="001D5C6F" w:rsidRDefault="001D5C6F" w:rsidP="001D5C6F">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1D5C6F" w:rsidRDefault="001D5C6F" w:rsidP="001D5C6F">
      <w:pPr>
        <w:pStyle w:val="Chapter"/>
        <w:outlineLvl w:val="1"/>
        <w:rPr>
          <w:bCs w:val="0"/>
        </w:rPr>
      </w:pPr>
      <w:r>
        <w:rPr>
          <w:bCs w:val="0"/>
        </w:rPr>
        <w:t>三、审计报告</w:t>
      </w:r>
    </w:p>
    <w:p w:rsidR="001D5C6F" w:rsidRDefault="001D5C6F" w:rsidP="001D5C6F">
      <w:pPr>
        <w:jc w:val="left"/>
        <w:rPr>
          <w:szCs w:val="24"/>
        </w:rPr>
      </w:pPr>
      <w:r>
        <w:rPr>
          <w:szCs w:val="24"/>
        </w:rPr>
        <w:t>第一季度报告是否经过审计</w:t>
      </w:r>
    </w:p>
    <w:p w:rsidR="001D5C6F" w:rsidRDefault="001D5C6F" w:rsidP="001D5C6F">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273861" w:rsidRDefault="001D5C6F" w:rsidP="00037BE6">
      <w:pPr>
        <w:spacing w:before="100" w:after="100"/>
        <w:rPr>
          <w:szCs w:val="24"/>
        </w:rPr>
      </w:pPr>
      <w:r>
        <w:rPr>
          <w:szCs w:val="24"/>
        </w:rPr>
        <w:t>公司第一季度报告未经审计。</w:t>
      </w:r>
    </w:p>
    <w:sectPr w:rsidR="00273861" w:rsidSect="00B11C1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67A" w:rsidRDefault="0002167A">
      <w:pPr>
        <w:spacing w:before="0" w:after="0"/>
      </w:pPr>
      <w:r>
        <w:separator/>
      </w:r>
    </w:p>
  </w:endnote>
  <w:endnote w:type="continuationSeparator" w:id="1">
    <w:p w:rsidR="0002167A" w:rsidRDefault="000216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6F" w:rsidRDefault="00230F73">
    <w:pPr>
      <w:pStyle w:val="a5"/>
      <w:jc w:val="center"/>
    </w:pPr>
    <w:r w:rsidRPr="00230F73">
      <w:fldChar w:fldCharType="begin"/>
    </w:r>
    <w:r w:rsidR="001D5C6F">
      <w:instrText xml:space="preserve"> PAGE   \* MERGEFORMAT </w:instrText>
    </w:r>
    <w:r w:rsidRPr="00230F73">
      <w:fldChar w:fldCharType="separate"/>
    </w:r>
    <w:r w:rsidR="00611DD8" w:rsidRPr="00611DD8">
      <w:rPr>
        <w:noProof/>
        <w:lang w:val="zh-CN"/>
      </w:rPr>
      <w:t>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67A" w:rsidRDefault="0002167A">
      <w:pPr>
        <w:spacing w:before="0" w:after="0"/>
      </w:pPr>
      <w:r>
        <w:separator/>
      </w:r>
    </w:p>
  </w:footnote>
  <w:footnote w:type="continuationSeparator" w:id="1">
    <w:p w:rsidR="0002167A" w:rsidRDefault="000216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6F" w:rsidRDefault="001D5C6F" w:rsidP="00562C5E">
    <w:pPr>
      <w:pStyle w:val="a4"/>
      <w:jc w:val="right"/>
    </w:pPr>
    <w:r>
      <w:rPr>
        <w:noProof/>
      </w:rPr>
      <w:drawing>
        <wp:anchor distT="0" distB="0" distL="114300" distR="114300" simplePos="0" relativeHeight="251657216" behindDoc="1" locked="0" layoutInCell="1" allowOverlap="1">
          <wp:simplePos x="0" y="0"/>
          <wp:positionH relativeFrom="column">
            <wp:posOffset>-252095</wp:posOffset>
          </wp:positionH>
          <wp:positionV relativeFrom="paragraph">
            <wp:posOffset>-100965</wp:posOffset>
          </wp:positionV>
          <wp:extent cx="1530350" cy="38100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530350" cy="381000"/>
                  </a:xfrm>
                  <a:prstGeom prst="rect">
                    <a:avLst/>
                  </a:prstGeom>
                  <a:noFill/>
                  <a:ln w="9525">
                    <a:noFill/>
                    <a:miter lim="800000"/>
                    <a:headEnd/>
                    <a:tailEnd/>
                  </a:ln>
                </pic:spPr>
              </pic:pic>
            </a:graphicData>
          </a:graphic>
        </wp:anchor>
      </w:drawing>
    </w:r>
    <w:r>
      <w:rPr>
        <w:rFonts w:hint="eastAsia"/>
      </w:rPr>
      <w:t>昆明云内动力股份有限公司</w:t>
    </w:r>
    <w:r>
      <w:t>20</w:t>
    </w:r>
    <w:r>
      <w:rPr>
        <w:rFonts w:hint="eastAsia"/>
      </w:rPr>
      <w:t>21</w:t>
    </w:r>
    <w:r>
      <w:rPr>
        <w:rFonts w:hint="eastAsia"/>
      </w:rPr>
      <w:t>年第一季度报告全文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859"/>
    <w:multiLevelType w:val="hybridMultilevel"/>
    <w:tmpl w:val="86B0AA40"/>
    <w:lvl w:ilvl="0" w:tplc="68424D44">
      <w:start w:val="2"/>
      <w:numFmt w:val="decimal"/>
      <w:lvlText w:val="%1、"/>
      <w:lvlJc w:val="left"/>
      <w:pPr>
        <w:ind w:left="4613" w:hanging="360"/>
      </w:pPr>
      <w:rPr>
        <w:rFonts w:ascii="宋体" w:eastAsia="宋体" w:hAnsi="宋体" w:cs="宋体" w:hint="default"/>
      </w:rPr>
    </w:lvl>
    <w:lvl w:ilvl="1" w:tplc="04090019" w:tentative="1">
      <w:start w:val="1"/>
      <w:numFmt w:val="lowerLetter"/>
      <w:lvlText w:val="%2)"/>
      <w:lvlJc w:val="left"/>
      <w:pPr>
        <w:ind w:left="5093" w:hanging="420"/>
      </w:pPr>
    </w:lvl>
    <w:lvl w:ilvl="2" w:tplc="0409001B" w:tentative="1">
      <w:start w:val="1"/>
      <w:numFmt w:val="lowerRoman"/>
      <w:lvlText w:val="%3."/>
      <w:lvlJc w:val="right"/>
      <w:pPr>
        <w:ind w:left="5513" w:hanging="420"/>
      </w:pPr>
    </w:lvl>
    <w:lvl w:ilvl="3" w:tplc="0409000F" w:tentative="1">
      <w:start w:val="1"/>
      <w:numFmt w:val="decimal"/>
      <w:lvlText w:val="%4."/>
      <w:lvlJc w:val="left"/>
      <w:pPr>
        <w:ind w:left="5933" w:hanging="420"/>
      </w:pPr>
    </w:lvl>
    <w:lvl w:ilvl="4" w:tplc="04090019" w:tentative="1">
      <w:start w:val="1"/>
      <w:numFmt w:val="lowerLetter"/>
      <w:lvlText w:val="%5)"/>
      <w:lvlJc w:val="left"/>
      <w:pPr>
        <w:ind w:left="6353" w:hanging="420"/>
      </w:pPr>
    </w:lvl>
    <w:lvl w:ilvl="5" w:tplc="0409001B" w:tentative="1">
      <w:start w:val="1"/>
      <w:numFmt w:val="lowerRoman"/>
      <w:lvlText w:val="%6."/>
      <w:lvlJc w:val="right"/>
      <w:pPr>
        <w:ind w:left="6773" w:hanging="420"/>
      </w:pPr>
    </w:lvl>
    <w:lvl w:ilvl="6" w:tplc="0409000F" w:tentative="1">
      <w:start w:val="1"/>
      <w:numFmt w:val="decimal"/>
      <w:lvlText w:val="%7."/>
      <w:lvlJc w:val="left"/>
      <w:pPr>
        <w:ind w:left="7193" w:hanging="420"/>
      </w:pPr>
    </w:lvl>
    <w:lvl w:ilvl="7" w:tplc="04090019" w:tentative="1">
      <w:start w:val="1"/>
      <w:numFmt w:val="lowerLetter"/>
      <w:lvlText w:val="%8)"/>
      <w:lvlJc w:val="left"/>
      <w:pPr>
        <w:ind w:left="7613" w:hanging="420"/>
      </w:pPr>
    </w:lvl>
    <w:lvl w:ilvl="8" w:tplc="0409001B" w:tentative="1">
      <w:start w:val="1"/>
      <w:numFmt w:val="lowerRoman"/>
      <w:lvlText w:val="%9."/>
      <w:lvlJc w:val="right"/>
      <w:pPr>
        <w:ind w:left="8033" w:hanging="420"/>
      </w:pPr>
    </w:lvl>
  </w:abstractNum>
  <w:abstractNum w:abstractNumId="1">
    <w:nsid w:val="3A9F36E8"/>
    <w:multiLevelType w:val="singleLevel"/>
    <w:tmpl w:val="1A466DBE"/>
    <w:lvl w:ilvl="0">
      <w:start w:val="1"/>
      <w:numFmt w:val="decimal"/>
      <w:lvlText w:val="%1."/>
      <w:legacy w:legacy="1" w:legacySpace="0" w:legacyIndent="0"/>
      <w:lvlJc w:val="left"/>
      <w:rPr>
        <w:rFonts w:ascii="宋体" w:eastAsia="宋体" w:hAnsi="宋体" w:hint="eastAsia"/>
      </w:rPr>
    </w:lvl>
  </w:abstractNum>
  <w:abstractNum w:abstractNumId="2">
    <w:nsid w:val="4DC70A23"/>
    <w:multiLevelType w:val="singleLevel"/>
    <w:tmpl w:val="1A466DBE"/>
    <w:lvl w:ilvl="0">
      <w:start w:val="1"/>
      <w:numFmt w:val="decimal"/>
      <w:lvlText w:val="%1."/>
      <w:legacy w:legacy="1" w:legacySpace="0" w:legacyIndent="0"/>
      <w:lvlJc w:val="left"/>
      <w:rPr>
        <w:rFonts w:ascii="宋体" w:eastAsia="宋体" w:hAnsi="宋体" w:hint="eastAsia"/>
      </w:rPr>
    </w:lvl>
  </w:abstractNum>
  <w:abstractNum w:abstractNumId="3">
    <w:nsid w:val="57552E23"/>
    <w:multiLevelType w:val="hybridMultilevel"/>
    <w:tmpl w:val="9C108B96"/>
    <w:lvl w:ilvl="0" w:tplc="E594DC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7FF2272"/>
    <w:multiLevelType w:val="singleLevel"/>
    <w:tmpl w:val="1A466DBE"/>
    <w:lvl w:ilvl="0">
      <w:start w:val="1"/>
      <w:numFmt w:val="decimal"/>
      <w:lvlText w:val="%1."/>
      <w:legacy w:legacy="1" w:legacySpace="0" w:legacyIndent="0"/>
      <w:lvlJc w:val="left"/>
      <w:rPr>
        <w:rFonts w:ascii="宋体" w:eastAsia="宋体" w:hAnsi="宋体" w:hint="eastAsia"/>
      </w:rPr>
    </w:lvl>
  </w:abstractNum>
  <w:abstractNum w:abstractNumId="5">
    <w:nsid w:val="5B046B69"/>
    <w:multiLevelType w:val="hybridMultilevel"/>
    <w:tmpl w:val="5E764090"/>
    <w:lvl w:ilvl="0" w:tplc="B91E6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802F10"/>
    <w:multiLevelType w:val="hybridMultilevel"/>
    <w:tmpl w:val="74E63582"/>
    <w:lvl w:ilvl="0" w:tplc="59A47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9344E7"/>
    <w:multiLevelType w:val="hybridMultilevel"/>
    <w:tmpl w:val="F75660FE"/>
    <w:lvl w:ilvl="0" w:tplc="60A27A14">
      <w:start w:val="1"/>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0"/>
  <w:drawingGridVerticalSpacing w:val="156"/>
  <w:displayHorizontalDrawingGridEvery w:val="0"/>
  <w:displayVerticalDrawingGridEvery w:val="2"/>
  <w:characterSpacingControl w:val="compressPunctuation"/>
  <w:doNotValidateAgainstSchema/>
  <w:doNotDemarcateInvalidXml/>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2DB"/>
    <w:rsid w:val="00000AFB"/>
    <w:rsid w:val="00003ED8"/>
    <w:rsid w:val="00005714"/>
    <w:rsid w:val="00005982"/>
    <w:rsid w:val="00012EF8"/>
    <w:rsid w:val="0002167A"/>
    <w:rsid w:val="00037BE6"/>
    <w:rsid w:val="000447A9"/>
    <w:rsid w:val="0006778C"/>
    <w:rsid w:val="00091B65"/>
    <w:rsid w:val="00094951"/>
    <w:rsid w:val="00094B4E"/>
    <w:rsid w:val="000B5739"/>
    <w:rsid w:val="001054C3"/>
    <w:rsid w:val="0011195A"/>
    <w:rsid w:val="00126616"/>
    <w:rsid w:val="001A01AB"/>
    <w:rsid w:val="001B22AC"/>
    <w:rsid w:val="001D5C6F"/>
    <w:rsid w:val="001E7094"/>
    <w:rsid w:val="001F0D3C"/>
    <w:rsid w:val="001F1D28"/>
    <w:rsid w:val="00217683"/>
    <w:rsid w:val="00223097"/>
    <w:rsid w:val="00230F73"/>
    <w:rsid w:val="00251CF8"/>
    <w:rsid w:val="00273861"/>
    <w:rsid w:val="00281FA7"/>
    <w:rsid w:val="002A2431"/>
    <w:rsid w:val="002A5AEB"/>
    <w:rsid w:val="002B7A75"/>
    <w:rsid w:val="002C2A62"/>
    <w:rsid w:val="002E3631"/>
    <w:rsid w:val="002E5F6B"/>
    <w:rsid w:val="002F49AF"/>
    <w:rsid w:val="00314143"/>
    <w:rsid w:val="00324F13"/>
    <w:rsid w:val="003261A6"/>
    <w:rsid w:val="00327105"/>
    <w:rsid w:val="00342606"/>
    <w:rsid w:val="0034434B"/>
    <w:rsid w:val="0036264D"/>
    <w:rsid w:val="003679E1"/>
    <w:rsid w:val="00371933"/>
    <w:rsid w:val="0037413A"/>
    <w:rsid w:val="003759E3"/>
    <w:rsid w:val="0039252C"/>
    <w:rsid w:val="003932AD"/>
    <w:rsid w:val="003A702F"/>
    <w:rsid w:val="003D2C25"/>
    <w:rsid w:val="003F08A9"/>
    <w:rsid w:val="003F5CB7"/>
    <w:rsid w:val="00403545"/>
    <w:rsid w:val="00437340"/>
    <w:rsid w:val="004451A2"/>
    <w:rsid w:val="004542EC"/>
    <w:rsid w:val="004705C6"/>
    <w:rsid w:val="004821D3"/>
    <w:rsid w:val="00492223"/>
    <w:rsid w:val="004A006B"/>
    <w:rsid w:val="004C1465"/>
    <w:rsid w:val="004D7BAC"/>
    <w:rsid w:val="0051478F"/>
    <w:rsid w:val="00537A87"/>
    <w:rsid w:val="0055361D"/>
    <w:rsid w:val="00556085"/>
    <w:rsid w:val="00562C5E"/>
    <w:rsid w:val="00577977"/>
    <w:rsid w:val="005A36D4"/>
    <w:rsid w:val="005E239D"/>
    <w:rsid w:val="005F19A7"/>
    <w:rsid w:val="005F1AFB"/>
    <w:rsid w:val="006028B0"/>
    <w:rsid w:val="00611260"/>
    <w:rsid w:val="00611DD8"/>
    <w:rsid w:val="006254D9"/>
    <w:rsid w:val="00635DC8"/>
    <w:rsid w:val="006471E8"/>
    <w:rsid w:val="00652643"/>
    <w:rsid w:val="00667986"/>
    <w:rsid w:val="00682155"/>
    <w:rsid w:val="006A5DFD"/>
    <w:rsid w:val="006B4311"/>
    <w:rsid w:val="006D21EC"/>
    <w:rsid w:val="00703513"/>
    <w:rsid w:val="007056F5"/>
    <w:rsid w:val="007150A2"/>
    <w:rsid w:val="00716B12"/>
    <w:rsid w:val="0076146E"/>
    <w:rsid w:val="007674FE"/>
    <w:rsid w:val="00776414"/>
    <w:rsid w:val="007869B7"/>
    <w:rsid w:val="007A189F"/>
    <w:rsid w:val="007D7D50"/>
    <w:rsid w:val="008000E9"/>
    <w:rsid w:val="00804860"/>
    <w:rsid w:val="00821F5E"/>
    <w:rsid w:val="00832171"/>
    <w:rsid w:val="0083709C"/>
    <w:rsid w:val="00857BBD"/>
    <w:rsid w:val="00861816"/>
    <w:rsid w:val="00886D1C"/>
    <w:rsid w:val="008A3347"/>
    <w:rsid w:val="00912016"/>
    <w:rsid w:val="00960CD4"/>
    <w:rsid w:val="00962934"/>
    <w:rsid w:val="00972D03"/>
    <w:rsid w:val="00975973"/>
    <w:rsid w:val="0099384A"/>
    <w:rsid w:val="009A48FC"/>
    <w:rsid w:val="009C1077"/>
    <w:rsid w:val="009E73AE"/>
    <w:rsid w:val="009F2497"/>
    <w:rsid w:val="00A01F7A"/>
    <w:rsid w:val="00A0396D"/>
    <w:rsid w:val="00A52C1E"/>
    <w:rsid w:val="00AB1523"/>
    <w:rsid w:val="00AD7E09"/>
    <w:rsid w:val="00B11C12"/>
    <w:rsid w:val="00B32FDB"/>
    <w:rsid w:val="00B500AD"/>
    <w:rsid w:val="00B60833"/>
    <w:rsid w:val="00B9676E"/>
    <w:rsid w:val="00BB03DE"/>
    <w:rsid w:val="00BB3D2B"/>
    <w:rsid w:val="00BD3A44"/>
    <w:rsid w:val="00C128BE"/>
    <w:rsid w:val="00C220EF"/>
    <w:rsid w:val="00C453CE"/>
    <w:rsid w:val="00C61CED"/>
    <w:rsid w:val="00C62003"/>
    <w:rsid w:val="00C66E56"/>
    <w:rsid w:val="00CA6291"/>
    <w:rsid w:val="00CC35D2"/>
    <w:rsid w:val="00CE4589"/>
    <w:rsid w:val="00CF1497"/>
    <w:rsid w:val="00CF72B4"/>
    <w:rsid w:val="00D05ADB"/>
    <w:rsid w:val="00D22CDD"/>
    <w:rsid w:val="00D43DCC"/>
    <w:rsid w:val="00D501B2"/>
    <w:rsid w:val="00D7625F"/>
    <w:rsid w:val="00D86824"/>
    <w:rsid w:val="00DA07B7"/>
    <w:rsid w:val="00DA7450"/>
    <w:rsid w:val="00DB52DB"/>
    <w:rsid w:val="00E061D7"/>
    <w:rsid w:val="00E1745C"/>
    <w:rsid w:val="00E17F60"/>
    <w:rsid w:val="00E27712"/>
    <w:rsid w:val="00E32BDF"/>
    <w:rsid w:val="00E4777B"/>
    <w:rsid w:val="00E52279"/>
    <w:rsid w:val="00E52D23"/>
    <w:rsid w:val="00E9104A"/>
    <w:rsid w:val="00F0225E"/>
    <w:rsid w:val="00F059A4"/>
    <w:rsid w:val="00F17B7B"/>
    <w:rsid w:val="00F640A5"/>
    <w:rsid w:val="00F77085"/>
    <w:rsid w:val="00F92011"/>
    <w:rsid w:val="00F93611"/>
    <w:rsid w:val="00FA277C"/>
    <w:rsid w:val="00FA2D24"/>
    <w:rsid w:val="00FB05A0"/>
    <w:rsid w:val="00FB3F23"/>
    <w:rsid w:val="00FB4575"/>
    <w:rsid w:val="00FB6525"/>
    <w:rsid w:val="00FD478A"/>
    <w:rsid w:val="00FD49EE"/>
    <w:rsid w:val="00FE2F60"/>
    <w:rsid w:val="00FE5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12"/>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B11C12"/>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B11C12"/>
    <w:rPr>
      <w:rFonts w:asciiTheme="majorHAnsi" w:eastAsia="宋体" w:hAnsiTheme="majorHAnsi" w:cstheme="majorBidi"/>
      <w:b/>
      <w:bCs/>
      <w:sz w:val="32"/>
      <w:szCs w:val="32"/>
    </w:rPr>
  </w:style>
  <w:style w:type="paragraph" w:customStyle="1" w:styleId="Chapter">
    <w:name w:val="Chapter"/>
    <w:next w:val="a"/>
    <w:uiPriority w:val="99"/>
    <w:rsid w:val="00B11C12"/>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rsid w:val="00B11C12"/>
    <w:pPr>
      <w:keepNext/>
      <w:keepLines/>
      <w:widowControl w:val="0"/>
      <w:spacing w:before="300" w:after="300" w:line="241" w:lineRule="auto"/>
      <w:jc w:val="both"/>
    </w:pPr>
    <w:rPr>
      <w:rFonts w:ascii="Times New Roman" w:eastAsia="宋体" w:hAnsi="Times New Roman"/>
      <w:b/>
      <w:bCs/>
      <w:kern w:val="28"/>
    </w:rPr>
  </w:style>
  <w:style w:type="paragraph" w:customStyle="1" w:styleId="1">
    <w:name w:val="页眉1"/>
    <w:basedOn w:val="a"/>
    <w:uiPriority w:val="99"/>
    <w:rsid w:val="00B11C12"/>
    <w:pPr>
      <w:pBdr>
        <w:bottom w:val="single" w:sz="6" w:space="1" w:color="auto"/>
      </w:pBdr>
      <w:tabs>
        <w:tab w:val="center" w:pos="4153"/>
        <w:tab w:val="right" w:pos="8306"/>
      </w:tabs>
      <w:snapToGrid w:val="0"/>
      <w:spacing w:before="0" w:after="0"/>
      <w:jc w:val="right"/>
    </w:pPr>
  </w:style>
  <w:style w:type="paragraph" w:customStyle="1" w:styleId="10">
    <w:name w:val="页脚1"/>
    <w:basedOn w:val="a"/>
    <w:uiPriority w:val="99"/>
    <w:rsid w:val="00B11C12"/>
    <w:pPr>
      <w:tabs>
        <w:tab w:val="center" w:pos="4153"/>
        <w:tab w:val="right" w:pos="8306"/>
      </w:tabs>
      <w:snapToGrid w:val="0"/>
      <w:spacing w:before="0" w:after="0"/>
      <w:jc w:val="right"/>
    </w:pPr>
  </w:style>
  <w:style w:type="paragraph" w:styleId="a4">
    <w:name w:val="header"/>
    <w:basedOn w:val="a"/>
    <w:link w:val="Char0"/>
    <w:uiPriority w:val="99"/>
    <w:unhideWhenUsed/>
    <w:rsid w:val="00273861"/>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locked/>
    <w:rsid w:val="00273861"/>
    <w:rPr>
      <w:rFonts w:ascii="Times New Roman" w:eastAsia="宋体" w:hAnsi="Times New Roman" w:cs="Times New Roman"/>
      <w:sz w:val="18"/>
      <w:szCs w:val="18"/>
    </w:rPr>
  </w:style>
  <w:style w:type="paragraph" w:styleId="a5">
    <w:name w:val="footer"/>
    <w:basedOn w:val="a"/>
    <w:link w:val="Char1"/>
    <w:uiPriority w:val="99"/>
    <w:unhideWhenUsed/>
    <w:rsid w:val="00273861"/>
    <w:pPr>
      <w:tabs>
        <w:tab w:val="center" w:pos="4153"/>
        <w:tab w:val="right" w:pos="8306"/>
      </w:tabs>
      <w:snapToGrid w:val="0"/>
      <w:jc w:val="left"/>
    </w:pPr>
  </w:style>
  <w:style w:type="character" w:customStyle="1" w:styleId="Char1">
    <w:name w:val="页脚 Char"/>
    <w:basedOn w:val="a0"/>
    <w:link w:val="a5"/>
    <w:uiPriority w:val="99"/>
    <w:locked/>
    <w:rsid w:val="00273861"/>
    <w:rPr>
      <w:rFonts w:ascii="Times New Roman" w:eastAsia="宋体" w:hAnsi="Times New Roman" w:cs="Times New Roman"/>
      <w:sz w:val="18"/>
      <w:szCs w:val="18"/>
    </w:rPr>
  </w:style>
  <w:style w:type="paragraph" w:styleId="a6">
    <w:name w:val="List Paragraph"/>
    <w:basedOn w:val="a"/>
    <w:uiPriority w:val="34"/>
    <w:qFormat/>
    <w:rsid w:val="00C128BE"/>
    <w:pPr>
      <w:ind w:firstLineChars="200" w:firstLine="420"/>
    </w:pPr>
  </w:style>
  <w:style w:type="paragraph" w:customStyle="1" w:styleId="2">
    <w:name w:val="页眉2"/>
    <w:basedOn w:val="a"/>
    <w:uiPriority w:val="99"/>
    <w:rsid w:val="00E1745C"/>
    <w:pPr>
      <w:pBdr>
        <w:bottom w:val="single" w:sz="6" w:space="1" w:color="auto"/>
      </w:pBdr>
      <w:tabs>
        <w:tab w:val="center" w:pos="4153"/>
        <w:tab w:val="right" w:pos="8306"/>
      </w:tabs>
      <w:snapToGrid w:val="0"/>
      <w:spacing w:before="0" w:after="0"/>
      <w:jc w:val="right"/>
    </w:pPr>
    <w:rPr>
      <w:kern w:val="2"/>
    </w:rPr>
  </w:style>
  <w:style w:type="paragraph" w:customStyle="1" w:styleId="20">
    <w:name w:val="页脚2"/>
    <w:basedOn w:val="a"/>
    <w:uiPriority w:val="99"/>
    <w:rsid w:val="00E1745C"/>
    <w:pPr>
      <w:tabs>
        <w:tab w:val="center" w:pos="4153"/>
        <w:tab w:val="right" w:pos="8306"/>
      </w:tabs>
      <w:snapToGrid w:val="0"/>
      <w:spacing w:before="0" w:after="0"/>
      <w:jc w:val="right"/>
    </w:pPr>
    <w:rPr>
      <w:kern w:val="2"/>
    </w:rPr>
  </w:style>
  <w:style w:type="paragraph" w:customStyle="1" w:styleId="Header">
    <w:name w:val="Header"/>
    <w:basedOn w:val="a"/>
    <w:uiPriority w:val="99"/>
    <w:rsid w:val="00327105"/>
    <w:pPr>
      <w:pBdr>
        <w:bottom w:val="single" w:sz="6" w:space="1" w:color="auto"/>
      </w:pBdr>
      <w:tabs>
        <w:tab w:val="center" w:pos="4153"/>
        <w:tab w:val="right" w:pos="8306"/>
      </w:tabs>
      <w:snapToGrid w:val="0"/>
      <w:spacing w:before="0" w:after="0"/>
      <w:jc w:val="right"/>
    </w:pPr>
    <w:rPr>
      <w:kern w:val="2"/>
    </w:rPr>
  </w:style>
  <w:style w:type="paragraph" w:customStyle="1" w:styleId="Footer">
    <w:name w:val="Footer"/>
    <w:basedOn w:val="a"/>
    <w:uiPriority w:val="99"/>
    <w:rsid w:val="00327105"/>
    <w:pPr>
      <w:tabs>
        <w:tab w:val="center" w:pos="4153"/>
        <w:tab w:val="right" w:pos="8306"/>
      </w:tabs>
      <w:snapToGrid w:val="0"/>
      <w:spacing w:before="0" w:after="0"/>
      <w:jc w:val="right"/>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255">
      <w:bodyDiv w:val="1"/>
      <w:marLeft w:val="0"/>
      <w:marRight w:val="0"/>
      <w:marTop w:val="0"/>
      <w:marBottom w:val="0"/>
      <w:divBdr>
        <w:top w:val="none" w:sz="0" w:space="0" w:color="auto"/>
        <w:left w:val="none" w:sz="0" w:space="0" w:color="auto"/>
        <w:bottom w:val="none" w:sz="0" w:space="0" w:color="auto"/>
        <w:right w:val="none" w:sz="0" w:space="0" w:color="auto"/>
      </w:divBdr>
    </w:div>
    <w:div w:id="277833204">
      <w:bodyDiv w:val="1"/>
      <w:marLeft w:val="0"/>
      <w:marRight w:val="0"/>
      <w:marTop w:val="0"/>
      <w:marBottom w:val="0"/>
      <w:divBdr>
        <w:top w:val="none" w:sz="0" w:space="0" w:color="auto"/>
        <w:left w:val="none" w:sz="0" w:space="0" w:color="auto"/>
        <w:bottom w:val="none" w:sz="0" w:space="0" w:color="auto"/>
        <w:right w:val="none" w:sz="0" w:space="0" w:color="auto"/>
      </w:divBdr>
    </w:div>
    <w:div w:id="761950870">
      <w:bodyDiv w:val="1"/>
      <w:marLeft w:val="0"/>
      <w:marRight w:val="0"/>
      <w:marTop w:val="0"/>
      <w:marBottom w:val="0"/>
      <w:divBdr>
        <w:top w:val="none" w:sz="0" w:space="0" w:color="auto"/>
        <w:left w:val="none" w:sz="0" w:space="0" w:color="auto"/>
        <w:bottom w:val="none" w:sz="0" w:space="0" w:color="auto"/>
        <w:right w:val="none" w:sz="0" w:space="0" w:color="auto"/>
      </w:divBdr>
    </w:div>
    <w:div w:id="1149174638">
      <w:bodyDiv w:val="1"/>
      <w:marLeft w:val="0"/>
      <w:marRight w:val="0"/>
      <w:marTop w:val="0"/>
      <w:marBottom w:val="0"/>
      <w:divBdr>
        <w:top w:val="none" w:sz="0" w:space="0" w:color="auto"/>
        <w:left w:val="none" w:sz="0" w:space="0" w:color="auto"/>
        <w:bottom w:val="none" w:sz="0" w:space="0" w:color="auto"/>
        <w:right w:val="none" w:sz="0" w:space="0" w:color="auto"/>
      </w:divBdr>
    </w:div>
    <w:div w:id="1191918845">
      <w:bodyDiv w:val="1"/>
      <w:marLeft w:val="0"/>
      <w:marRight w:val="0"/>
      <w:marTop w:val="0"/>
      <w:marBottom w:val="0"/>
      <w:divBdr>
        <w:top w:val="none" w:sz="0" w:space="0" w:color="auto"/>
        <w:left w:val="none" w:sz="0" w:space="0" w:color="auto"/>
        <w:bottom w:val="none" w:sz="0" w:space="0" w:color="auto"/>
        <w:right w:val="none" w:sz="0" w:space="0" w:color="auto"/>
      </w:divBdr>
    </w:div>
    <w:div w:id="14712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5D31-4FFD-4744-BBC3-93799DEB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24</Pages>
  <Words>2814</Words>
  <Characters>16041</Characters>
  <Application>Microsoft Office Word</Application>
  <DocSecurity>0</DocSecurity>
  <Lines>133</Lines>
  <Paragraphs>37</Paragraphs>
  <ScaleCrop>false</ScaleCrop>
  <Company>Microsoft</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昆明云内动力股份有限公司2018年第三季度报告全文</dc:title>
  <dc:creator>昆明云内动力股份有限公司</dc:creator>
  <cp:lastModifiedBy>程红梅</cp:lastModifiedBy>
  <cp:revision>66</cp:revision>
  <cp:lastPrinted>2020-10-13T03:21:00Z</cp:lastPrinted>
  <dcterms:created xsi:type="dcterms:W3CDTF">2018-10-22T05:22:00Z</dcterms:created>
  <dcterms:modified xsi:type="dcterms:W3CDTF">2021-04-29T05:20:00Z</dcterms:modified>
</cp:coreProperties>
</file>